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B4" w:rsidRPr="004879F6" w:rsidRDefault="009717B4" w:rsidP="009717B4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</w:t>
      </w:r>
      <w:r w:rsidR="00AA2D88">
        <w:rPr>
          <w:rFonts w:ascii="Times New Roman" w:hAnsi="Times New Roman" w:cs="Times New Roman"/>
          <w:b/>
          <w:sz w:val="20"/>
        </w:rPr>
        <w:t>7</w:t>
      </w:r>
      <w:bookmarkStart w:id="0" w:name="_GoBack"/>
      <w:bookmarkEnd w:id="0"/>
      <w:r w:rsidRPr="004879F6">
        <w:rPr>
          <w:rFonts w:ascii="Times New Roman" w:hAnsi="Times New Roman" w:cs="Times New Roman"/>
          <w:b/>
          <w:sz w:val="20"/>
        </w:rPr>
        <w:t>.1</w:t>
      </w:r>
    </w:p>
    <w:p w:rsidR="009717B4" w:rsidRPr="004879F6" w:rsidRDefault="009717B4" w:rsidP="009717B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9717B4" w:rsidRPr="004879F6" w:rsidRDefault="009717B4" w:rsidP="009717B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9717B4" w:rsidRPr="004879F6" w:rsidRDefault="009717B4" w:rsidP="009717B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Anästhesiologie und Intensivmedizin</w:t>
      </w:r>
    </w:p>
    <w:p w:rsidR="009717B4" w:rsidRPr="004879F6" w:rsidRDefault="009717B4" w:rsidP="009717B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9717B4" w:rsidRPr="004879F6" w:rsidRDefault="009717B4" w:rsidP="009717B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Anamneseerhebung, Erstbeurteilung und Monitoring beim innerklinischen Notfall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8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kardiopulmonalen Reanimation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zur intensivmedizinischen Behandlung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Durchführung einer Sauerstofftherapie mit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>-Nasensonde,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-Maske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Maskenbeatmung mit und ohne Hilfsmittel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und Beatmung über einen supraglottischen Atemweg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Anamneseerhebung, Erstbeurteilung und Monitoring beim innerklinischen Notfall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8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kardiopulmonalen Reanimation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zur intensivmedizinischen Behandlung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Durchführung einer Sauerstofftherapie mit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>-Nasensonde,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-Maske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Maskenbeatmung mit und ohne Hilfsmittel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und Beatmung über einen supraglottischen Atemweg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Anamneseerhebung, Erstbeurteilung und Monitoring beim innerklinischen Notfall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kardiopulmonalen Reanimation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Durchführung einer Sauerstofftherapie mit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>-Nasensonde,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-Maske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Maskenbeatmung mit und ohne Hilfsmittel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und Beatmung über einen supraglottischen Atemweg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17B4" w:rsidRPr="004879F6" w:rsidRDefault="009717B4" w:rsidP="009717B4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Einschätzen des Anästhesierisikos anhand der Anamnese, des Prämedikationsgespräches und der Größe des geplanten Eingriffs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Führen des Anamnesegespräches anhand eines strukturierten Fragebogens im Rahmen des Prämedikationsgespräches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präoperativen Diagnostik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</w:rPr>
              <w:t>Bedeutung von präoperativer Nüchternheit, Aspirationsrisiko und Infektfreiheit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</w:rPr>
              <w:t xml:space="preserve">Indikation zur perioperativen Weiterführung bzw. Unterbrechung einer vorbestehenden Medikation z. B. Antikoagulantien, Antiplättchentherapie, Antidiabetika, Antihypertensiva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</w:rPr>
              <w:t>Indikation zur präoperativen Anämiediagnostik und -korrektur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für die perioperative Antibiotikaprophylaxe/-therapie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rechtliche Grundlagen der Patientinnen- und Patientenaufklärung und Anästhesie-Freigabe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Erhebung klinischer Hinweise für einen schwierigen Atemweg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Führen des Anamnesegespräches anhand eines strukturierten Fragebogens im Rahmen des Präanästhesiegespräches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präoperativen Diagnostik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</w:rPr>
              <w:t xml:space="preserve">Indikation zur perioperativen Weiterführung bzw. Unterbrechung einer vorbestehenden Medikation z. B. Antikoagulantien, Antiplättchentherapie, Antidiabetika, Antihypertensiva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Erhebung klinischer Hinweise für einen schwierigen Atemweg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Führen des Anamnesegespräches anhand eines strukturierten Fragebogens im Rahmen des Präanästhesiegespräches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präoperativen Diagnostik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iCs/>
                <w:sz w:val="20"/>
              </w:rPr>
              <w:t xml:space="preserve">Indikation zur perioperativen Weiterführung bzw. Unterbrechung einer vorbestehenden Medikation z. B. Antikoagulantien, Antiplättchentherapie, Antidiabetika, Antihypertensiva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Erhebung klinischer Hinweise für einen schwierigen Atemweg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17B4" w:rsidRPr="004879F6" w:rsidRDefault="009717B4" w:rsidP="009717B4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allgemeine Abläufe bei Allgemein- und Regionalanästhesien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der Anästhesietiefe und Ausbreitung einer Regionalanästhesie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Beatmung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Stufen der Sedierung; Voraussetzungen und Risiken der (Analgo)-Sedierung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 der OP-Sicherheits-Checkliste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intraoperative Flüssigkeits- und Volumentherapie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intraoperative Blutkomponententherapie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perioperative Hygienemaßnahmen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Präoxygenierung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Maskenbeatmung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Endotracheale Intubation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Anlage von Zugängen und Sonden 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allgemeine Abläufe bei Allgemein- und Regionalanästhesien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der Narkosetiefe und Ausbreitung einer Regionalanästhesie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Beatmung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Stufen der Sedierung, Risiken der und Erfordernisse für die (Analgo)-Sedierung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 der OP-Sicherheits-Checkliste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intraoperative Flüssigkeits- und Volumentherapie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intraoperative Blutkomponententherapie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perioperative Hygienemaßnahmen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Präoxygenierung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Maskenbeatmung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Endotracheale Intubation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von Zugängen und Sonden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Beatmung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Präoxygenierung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Maskenbeatmung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Endotracheale Intubation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von Zugängen und Sonden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17B4" w:rsidRPr="004879F6" w:rsidRDefault="009717B4" w:rsidP="009717B4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Nachsorge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Management von typischen postoperativen Anästhesiekomplikationen 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Schmerztherapie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>- und Atemtherapie, (Früh-)Mobilisation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Interpretation der Blutgasanalyse 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Korrektur von Elektrolytstörungen </w:t>
            </w:r>
          </w:p>
        </w:tc>
      </w:tr>
      <w:tr w:rsidR="009717B4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einer relevanten postoperativen Nachblutung </w:t>
            </w:r>
          </w:p>
        </w:tc>
      </w:tr>
    </w:tbl>
    <w:p w:rsidR="009717B4" w:rsidRPr="004879F6" w:rsidRDefault="009717B4" w:rsidP="009717B4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Management von typischen postoperativen Anästhesiekomplikationen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Schmerztherapie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O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79F6">
              <w:rPr>
                <w:rFonts w:ascii="Times New Roman" w:hAnsi="Times New Roman" w:cs="Times New Roman"/>
                <w:sz w:val="20"/>
              </w:rPr>
              <w:t>- und Atemtherapie, (Früh-)Mobilisation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Interpretation der Blutgasanalyse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 w:line="240" w:lineRule="auto"/>
              <w:ind w:left="7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Korrektur von Elektrolytstörungen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einer relevanten postoperativen Nachblutung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17B4" w:rsidRDefault="009717B4" w:rsidP="009717B4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postoperative Schmerztherapie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Interpretation der Blutgasanalyse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Korrektur von Elektrolytstörungen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B4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9717B4">
            <w:pPr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einer relevanten postoperativen Nachblutung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717B4" w:rsidRPr="004879F6" w:rsidRDefault="009717B4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17B4" w:rsidRPr="004879F6" w:rsidRDefault="009717B4" w:rsidP="009717B4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69" w:rsidRDefault="00E92069" w:rsidP="009717B4">
      <w:pPr>
        <w:spacing w:after="0" w:line="240" w:lineRule="auto"/>
      </w:pPr>
      <w:r>
        <w:separator/>
      </w:r>
    </w:p>
  </w:endnote>
  <w:endnote w:type="continuationSeparator" w:id="0">
    <w:p w:rsidR="00E92069" w:rsidRDefault="00E92069" w:rsidP="0097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B4" w:rsidRPr="009717B4" w:rsidRDefault="00870AA8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</w:t>
    </w:r>
    <w:r w:rsidR="009717B4">
      <w:rPr>
        <w:rFonts w:ascii="Times New Roman" w:hAnsi="Times New Roman" w:cs="Times New Roman"/>
        <w:sz w:val="18"/>
        <w:szCs w:val="18"/>
      </w:rPr>
      <w:t>KEF u RZ</w:t>
    </w:r>
    <w:r>
      <w:rPr>
        <w:rFonts w:ascii="Times New Roman" w:hAnsi="Times New Roman" w:cs="Times New Roman"/>
        <w:sz w:val="18"/>
        <w:szCs w:val="18"/>
      </w:rPr>
      <w:t>-V 2015, Version 1.</w:t>
    </w:r>
    <w:r w:rsidR="00AB6158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Ausbildungsbeginn ab 01.01.2020</w:t>
    </w:r>
    <w:r w:rsidR="009717B4">
      <w:rPr>
        <w:rFonts w:ascii="Times New Roman" w:hAnsi="Times New Roman" w:cs="Times New Roman"/>
        <w:sz w:val="18"/>
        <w:szCs w:val="18"/>
      </w:rPr>
      <w:tab/>
    </w:r>
    <w:r w:rsidR="009717B4" w:rsidRPr="009717B4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9717B4" w:rsidRPr="009717B4">
      <w:rPr>
        <w:rFonts w:ascii="Times New Roman" w:hAnsi="Times New Roman" w:cs="Times New Roman"/>
        <w:bCs/>
        <w:sz w:val="18"/>
        <w:szCs w:val="18"/>
      </w:rPr>
      <w:fldChar w:fldCharType="begin"/>
    </w:r>
    <w:r w:rsidR="009717B4" w:rsidRPr="009717B4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9717B4" w:rsidRPr="009717B4">
      <w:rPr>
        <w:rFonts w:ascii="Times New Roman" w:hAnsi="Times New Roman" w:cs="Times New Roman"/>
        <w:bCs/>
        <w:sz w:val="18"/>
        <w:szCs w:val="18"/>
      </w:rPr>
      <w:fldChar w:fldCharType="separate"/>
    </w:r>
    <w:r w:rsidR="00AA2D88" w:rsidRPr="00AA2D88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9717B4" w:rsidRPr="009717B4">
      <w:rPr>
        <w:rFonts w:ascii="Times New Roman" w:hAnsi="Times New Roman" w:cs="Times New Roman"/>
        <w:bCs/>
        <w:sz w:val="18"/>
        <w:szCs w:val="18"/>
      </w:rPr>
      <w:fldChar w:fldCharType="end"/>
    </w:r>
    <w:r w:rsidR="009717B4" w:rsidRPr="009717B4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9717B4" w:rsidRPr="009717B4">
      <w:rPr>
        <w:rFonts w:ascii="Times New Roman" w:hAnsi="Times New Roman" w:cs="Times New Roman"/>
        <w:bCs/>
        <w:sz w:val="18"/>
        <w:szCs w:val="18"/>
      </w:rPr>
      <w:fldChar w:fldCharType="begin"/>
    </w:r>
    <w:r w:rsidR="009717B4" w:rsidRPr="009717B4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9717B4" w:rsidRPr="009717B4">
      <w:rPr>
        <w:rFonts w:ascii="Times New Roman" w:hAnsi="Times New Roman" w:cs="Times New Roman"/>
        <w:bCs/>
        <w:sz w:val="18"/>
        <w:szCs w:val="18"/>
      </w:rPr>
      <w:fldChar w:fldCharType="separate"/>
    </w:r>
    <w:r w:rsidR="00AA2D88" w:rsidRPr="00AA2D88">
      <w:rPr>
        <w:rFonts w:ascii="Times New Roman" w:hAnsi="Times New Roman" w:cs="Times New Roman"/>
        <w:bCs/>
        <w:noProof/>
        <w:sz w:val="18"/>
        <w:szCs w:val="18"/>
        <w:lang w:val="de-DE"/>
      </w:rPr>
      <w:t>3</w:t>
    </w:r>
    <w:r w:rsidR="009717B4" w:rsidRPr="009717B4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69" w:rsidRDefault="00E92069" w:rsidP="009717B4">
      <w:pPr>
        <w:spacing w:after="0" w:line="240" w:lineRule="auto"/>
      </w:pPr>
      <w:r>
        <w:separator/>
      </w:r>
    </w:p>
  </w:footnote>
  <w:footnote w:type="continuationSeparator" w:id="0">
    <w:p w:rsidR="00E92069" w:rsidRDefault="00E92069" w:rsidP="00971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FDD"/>
    <w:multiLevelType w:val="hybridMultilevel"/>
    <w:tmpl w:val="51BC02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B9C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77696"/>
    <w:multiLevelType w:val="hybridMultilevel"/>
    <w:tmpl w:val="44562D2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025B7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646F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D0879"/>
    <w:multiLevelType w:val="hybridMultilevel"/>
    <w:tmpl w:val="858E4322"/>
    <w:lvl w:ilvl="0" w:tplc="25A20C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913F9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7869"/>
    <w:multiLevelType w:val="hybridMultilevel"/>
    <w:tmpl w:val="2A9CFCD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932254"/>
    <w:multiLevelType w:val="hybridMultilevel"/>
    <w:tmpl w:val="67CEBCD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3B14"/>
    <w:multiLevelType w:val="hybridMultilevel"/>
    <w:tmpl w:val="1FF8E334"/>
    <w:lvl w:ilvl="0" w:tplc="E250D4AC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C4558F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3355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306B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9E62B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D28F2"/>
    <w:multiLevelType w:val="hybridMultilevel"/>
    <w:tmpl w:val="2A289462"/>
    <w:lvl w:ilvl="0" w:tplc="95740AD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D1B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A45A00"/>
    <w:multiLevelType w:val="hybridMultilevel"/>
    <w:tmpl w:val="E5404F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3178D"/>
    <w:multiLevelType w:val="hybridMultilevel"/>
    <w:tmpl w:val="64AA3E6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381D26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17"/>
  </w:num>
  <w:num w:numId="12">
    <w:abstractNumId w:val="3"/>
  </w:num>
  <w:num w:numId="13">
    <w:abstractNumId w:val="12"/>
  </w:num>
  <w:num w:numId="14">
    <w:abstractNumId w:val="6"/>
  </w:num>
  <w:num w:numId="15">
    <w:abstractNumId w:val="13"/>
  </w:num>
  <w:num w:numId="16">
    <w:abstractNumId w:val="11"/>
  </w:num>
  <w:num w:numId="17">
    <w:abstractNumId w:val="4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B4"/>
    <w:rsid w:val="00870AA8"/>
    <w:rsid w:val="009717B4"/>
    <w:rsid w:val="00AA2D88"/>
    <w:rsid w:val="00AB6158"/>
    <w:rsid w:val="00E92069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F2DA"/>
  <w15:chartTrackingRefBased/>
  <w15:docId w15:val="{26CAF482-0338-491C-A78F-63EA74B8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7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7B4"/>
  </w:style>
  <w:style w:type="paragraph" w:styleId="Fuzeile">
    <w:name w:val="footer"/>
    <w:basedOn w:val="Standard"/>
    <w:link w:val="FuzeileZchn"/>
    <w:uiPriority w:val="99"/>
    <w:unhideWhenUsed/>
    <w:rsid w:val="0097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Chalupsky Maximilian</cp:lastModifiedBy>
  <cp:revision>4</cp:revision>
  <cp:lastPrinted>2021-07-01T08:32:00Z</cp:lastPrinted>
  <dcterms:created xsi:type="dcterms:W3CDTF">2020-01-20T13:29:00Z</dcterms:created>
  <dcterms:modified xsi:type="dcterms:W3CDTF">2021-07-01T08:32:00Z</dcterms:modified>
</cp:coreProperties>
</file>