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0EB" w:rsidRPr="004879F6" w:rsidRDefault="002270EB" w:rsidP="002270EB">
      <w:pPr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6.4</w:t>
      </w:r>
    </w:p>
    <w:p w:rsidR="002270EB" w:rsidRPr="004879F6" w:rsidRDefault="002270EB" w:rsidP="002270EB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</w:t>
      </w:r>
    </w:p>
    <w:p w:rsidR="002270EB" w:rsidRPr="004879F6" w:rsidRDefault="002270EB" w:rsidP="002270EB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zum Sonderfach Kinder- und Jugendchirurgie</w:t>
      </w:r>
    </w:p>
    <w:p w:rsidR="002270EB" w:rsidRPr="004879F6" w:rsidRDefault="002270EB" w:rsidP="002270EB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2270EB" w:rsidRPr="004879F6" w:rsidRDefault="002270EB" w:rsidP="002270EB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 xml:space="preserve">Sonderfach Grundausbildung (15 Monate) </w:t>
      </w:r>
    </w:p>
    <w:p w:rsidR="002270EB" w:rsidRPr="00DA4C2A" w:rsidRDefault="002270EB" w:rsidP="002270EB">
      <w:pPr>
        <w:spacing w:after="0"/>
        <w:jc w:val="center"/>
        <w:rPr>
          <w:rFonts w:ascii="Times New Roman" w:hAnsi="Times New Roman" w:cs="Times New Roman"/>
          <w:b/>
          <w:strike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2270EB" w:rsidRPr="00DA4C2A" w:rsidTr="00267BCC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DA4C2A" w:rsidRDefault="002270EB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DA4C2A">
              <w:rPr>
                <w:rFonts w:ascii="Times New Roman" w:hAnsi="Times New Roman" w:cs="Times New Roman"/>
                <w:b/>
                <w:snapToGrid w:val="0"/>
                <w:sz w:val="20"/>
              </w:rPr>
              <w:t>A)</w:t>
            </w:r>
            <w:r w:rsidRPr="00DA4C2A">
              <w:rPr>
                <w:rFonts w:ascii="Times New Roman" w:hAnsi="Times New Roman" w:cs="Times New Roman"/>
                <w:b/>
                <w:snapToGrid w:val="0"/>
                <w:sz w:val="20"/>
              </w:rPr>
              <w:tab/>
              <w:t xml:space="preserve">Kenntnisse </w:t>
            </w:r>
          </w:p>
        </w:tc>
      </w:tr>
      <w:tr w:rsidR="002270EB" w:rsidRPr="004879F6" w:rsidTr="00267BCC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Ätiologie, Pathophysiologie und Pathogenese von Erkrankungen</w:t>
            </w:r>
          </w:p>
        </w:tc>
      </w:tr>
      <w:tr w:rsidR="002270EB" w:rsidRPr="004879F6" w:rsidTr="00267BCC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Qualitätssicherung und Qualitätsmanagement einschließlich des Fehler- und Risikomanagements</w:t>
            </w:r>
          </w:p>
        </w:tc>
      </w:tr>
      <w:tr w:rsidR="002270EB" w:rsidRPr="004879F6" w:rsidTr="00267BCC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 xml:space="preserve">Chirurgische Beratung und Gesprächsführung </w:t>
            </w:r>
          </w:p>
        </w:tc>
      </w:tr>
      <w:tr w:rsidR="002270EB" w:rsidRPr="004879F6" w:rsidTr="00267BCC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Interdisziplinäre Zusammenarbeit und Grundlagen der multidisziplinären Koordination und Kooperation, insbesondere Orientierung über soziale Einrichtungen, Institutionen und Möglichkeiten der Rehabilitation</w:t>
            </w:r>
          </w:p>
        </w:tc>
      </w:tr>
      <w:tr w:rsidR="002270EB" w:rsidRPr="004879F6" w:rsidTr="00267BCC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Einflüsse von psychosozialen und umweltbedingten Faktoren auf die Gesundheit</w:t>
            </w:r>
          </w:p>
        </w:tc>
      </w:tr>
      <w:tr w:rsidR="002270EB" w:rsidRPr="004879F6" w:rsidTr="00267BCC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 xml:space="preserve">Grundlagen der Pharmakotherapie einschließlich der Wechselwirkungen der Arzneimittel </w:t>
            </w:r>
          </w:p>
        </w:tc>
      </w:tr>
      <w:tr w:rsidR="002270EB" w:rsidRPr="004879F6" w:rsidTr="00267BCC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Gastrointestinale Endoskopie</w:t>
            </w:r>
          </w:p>
        </w:tc>
      </w:tr>
      <w:tr w:rsidR="002270EB" w:rsidRPr="004879F6" w:rsidTr="00267BCC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Psychosomatische Medizin</w:t>
            </w:r>
          </w:p>
        </w:tc>
      </w:tr>
      <w:tr w:rsidR="002270EB" w:rsidRPr="004879F6" w:rsidTr="00267BCC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 xml:space="preserve">Betreuung von Menschen mit besonderen Bedürfnissen </w:t>
            </w:r>
          </w:p>
        </w:tc>
      </w:tr>
      <w:tr w:rsidR="002270EB" w:rsidRPr="004879F6" w:rsidTr="00267BCC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Kenntnisse in Gesundheitsberatung, Prävention, Vorsorgemedizin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Grundlagen der Dokumentation und Arzthaftung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Gesundheitsökonomische Auswirkungen ärztlichen Handelns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Ethik ärztlichen Handelns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Maßnahmen zur Patientinnen- und Patientensicherheit</w:t>
            </w:r>
          </w:p>
        </w:tc>
      </w:tr>
      <w:tr w:rsidR="002270EB" w:rsidRPr="004879F6" w:rsidTr="00267BCC">
        <w:trPr>
          <w:trHeight w:val="279"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Palliativmedizin</w:t>
            </w:r>
          </w:p>
        </w:tc>
      </w:tr>
      <w:tr w:rsidR="002270EB" w:rsidRPr="004879F6" w:rsidTr="00267BCC">
        <w:trPr>
          <w:trHeight w:val="259"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Schmerztherapie</w:t>
            </w:r>
          </w:p>
        </w:tc>
      </w:tr>
    </w:tbl>
    <w:p w:rsidR="002270EB" w:rsidRPr="004879F6" w:rsidRDefault="002270EB" w:rsidP="002270EB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DA4C2A" w:rsidRDefault="002270EB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DA4C2A">
              <w:rPr>
                <w:rFonts w:ascii="Times New Roman" w:hAnsi="Times New Roman" w:cs="Times New Roman"/>
                <w:b/>
                <w:snapToGrid w:val="0"/>
                <w:sz w:val="20"/>
              </w:rPr>
              <w:t>B)</w:t>
            </w:r>
            <w:r w:rsidRPr="00DA4C2A">
              <w:rPr>
                <w:rFonts w:ascii="Times New Roman" w:hAnsi="Times New Roman" w:cs="Times New Roman"/>
                <w:b/>
                <w:snapToGrid w:val="0"/>
                <w:sz w:val="20"/>
              </w:rPr>
              <w:tab/>
              <w:t>Erfahrungen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Diagnose, Behandlungen und Nachsorge von chirurgischen Erkrankungen und Verletzungen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 xml:space="preserve">Interdisziplinäre Indikationsstellung zur weiterführenden Diagnostik einschließlich der      Differentialindikation und fachspezifischer Interpretation von Befunden 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Indikationsstellung zur konservativen, interventionellen und operativen Behandlung gebietsbezogener Erkrankungen und Verletzungen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Risikoeinschätzung der geplanten chirurgischen Eingriffe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Analgesierungs- und Sedierungsmaßnahmen einschließlich fachspezifische Schmerztherapie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Perioperatives Gerinnungsmanagement inkl. Thromboseprophylaxe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Behandlung von chirurgischen Notfallsituationen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 xml:space="preserve">Transfusions- und Blutersatz (Blutkomponenten)-therapie 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Enterale und parenterale Ernährung einschließlich Sondentechnik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Betreuung von chirurgischen Patientinne</w:t>
            </w:r>
            <w:bookmarkStart w:id="0" w:name="_GoBack"/>
            <w:bookmarkEnd w:id="0"/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 xml:space="preserve">n und Patienten auf einer Intensivstation 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lastRenderedPageBreak/>
              <w:t xml:space="preserve">Fachspezifische Qualitätssicherung und Dokumentation 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Strahlenschutz bei Patientinnen und Patienten und Personal gemäß den geltenden rechtlichen Bestimmungen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Indikationsstellung und Überwachung physikalischer Therapiemaßnahmen</w:t>
            </w:r>
          </w:p>
        </w:tc>
      </w:tr>
    </w:tbl>
    <w:p w:rsidR="002270EB" w:rsidRPr="004879F6" w:rsidRDefault="002270EB" w:rsidP="002270EB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4"/>
        <w:gridCol w:w="1512"/>
      </w:tblGrid>
      <w:tr w:rsidR="002270EB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DA4C2A" w:rsidRDefault="002270EB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DA4C2A">
              <w:rPr>
                <w:rFonts w:ascii="Times New Roman" w:hAnsi="Times New Roman" w:cs="Times New Roman"/>
                <w:b/>
                <w:snapToGrid w:val="0"/>
                <w:sz w:val="20"/>
              </w:rPr>
              <w:t>C)</w:t>
            </w:r>
            <w:r w:rsidRPr="00DA4C2A">
              <w:rPr>
                <w:rFonts w:ascii="Times New Roman" w:hAnsi="Times New Roman" w:cs="Times New Roman"/>
                <w:b/>
                <w:snapToGrid w:val="0"/>
                <w:sz w:val="20"/>
              </w:rPr>
              <w:tab/>
              <w:t>Fertigkeiten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Richtzahl</w:t>
            </w:r>
          </w:p>
        </w:tc>
      </w:tr>
      <w:tr w:rsidR="002270EB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Planung von operativen Interventionen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Prinzipien der Patientinnen- und Patientenlagerung, Desinfektion und Abdeckung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Lokal- oder Regionalanästhesien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5</w:t>
            </w:r>
          </w:p>
        </w:tc>
      </w:tr>
      <w:tr w:rsidR="002270EB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Wundversorgung, Wundbehandlung und Verbandslehre, Möglichkeiten der Versorgung von Wundheilungsstörungen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30</w:t>
            </w:r>
          </w:p>
        </w:tc>
      </w:tr>
      <w:tr w:rsidR="002270EB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Erkennen und Behandlung von perioperativen Infektionen einschließlich epidemiologischer Grundlagen sowie Hygienemaßnahmen und Impfprophylaxe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10</w:t>
            </w:r>
          </w:p>
        </w:tc>
      </w:tr>
      <w:tr w:rsidR="002270EB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Indikationsstellung, sachgerechte Probengewinnung und -behandlung für Laboruntersuchungen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Information und Kommunikation mit Patientinnen und Patienten und Angehörigen über Vorbereitung, Indikation, Durchführung und Risiken von Untersuchungen und Behandlungen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 xml:space="preserve">Sonographie bei chirurgischen Erkrankungen und Verletzungen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150</w:t>
            </w:r>
          </w:p>
        </w:tc>
      </w:tr>
      <w:tr w:rsidR="002270EB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 xml:space="preserve">Punktions- und Katheterisierungstechniken einschließlich der Gewinnung von Untersuchungsmaterial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5</w:t>
            </w:r>
          </w:p>
        </w:tc>
      </w:tr>
      <w:tr w:rsidR="002270EB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Infusions-, Transfusions- und Blutersatztherapie, enterale und parenterale Ernährung einschließlich Sondentechnik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50</w:t>
            </w:r>
          </w:p>
        </w:tc>
      </w:tr>
      <w:tr w:rsidR="002270EB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Erste Assistenzen bei Operationen und angeleitete Operationen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50</w:t>
            </w:r>
          </w:p>
        </w:tc>
      </w:tr>
      <w:tr w:rsidR="002270EB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Durchführung von einfachen Operationen/Interventionen und Teilschritten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 xml:space="preserve">100 </w:t>
            </w:r>
          </w:p>
        </w:tc>
      </w:tr>
      <w:tr w:rsidR="002270EB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Management von chirurgischen Notfallsituationen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rPr>
          <w:cantSplit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Fachspezifische Schmerztherapie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</w:tbl>
    <w:p w:rsidR="002270EB" w:rsidRPr="004879F6" w:rsidRDefault="002270EB" w:rsidP="002270EB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</w:p>
    <w:p w:rsidR="002270EB" w:rsidRPr="004879F6" w:rsidRDefault="002270EB" w:rsidP="002270EB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Sonderfach Schwerpunktausbildung (48 Monate)</w:t>
      </w:r>
    </w:p>
    <w:p w:rsidR="002270EB" w:rsidRPr="004879F6" w:rsidRDefault="002270EB" w:rsidP="002270EB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napToGrid w:val="0"/>
                <w:sz w:val="20"/>
              </w:rPr>
              <w:tab/>
              <w:t xml:space="preserve">Kenntnisse 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Prävention, Unfallverhütung und Gesundheitsberatung bei Kindern und Jugendlichen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Epidemiologie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Ärztliches Gespräch und Anamneseerhebung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Palliativmedizin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Kinder- und Jugendschutz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Kindliche Anatomie und deren Veränderung im Rahmen der Entwicklung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Physiologie, Pathophysiologie, angeborene Veränderungen sowie Pathologie aller Organe und Organsysteme des Kindes mit spezieller Berücksichtigung von Embryologie, Genetik, Entwicklung, Wachstum und Ernährung inkl. Kenntnis der altersbezogenen Normalwerte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Grundlagen der Pädiatrie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 xml:space="preserve">Perioperatives Management 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Instrumentenkunde und Gerätelehre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Hygienemaßnahmen, Infektionslehre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Operationstechniken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Grundprinzipien konservativer Behandlung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Intensivtherapie, Notfall- und Katastrophenmedizin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 xml:space="preserve">Psychosomatische Medizin 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Klinische Diagnostik bei Kindern und Jugendlichen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Prä- und perinatale Medizin inkl. der speziellen pränatalen Diagnostik, möglicher Interventionen und fachspezifischer Erstversorgung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Epidemiologie, Pathogenese und biologisches Verhalten von Tumoren inkl. deren Genetik und ihr Auftreten im Rahmen von Syndromen und Grundprinzipien onkologischer und chirurgischer Therapie der häufigsten kindlichen Tumoren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Epidemiologie, Pathogenese und Therapie des kindlichen Traumas unter Beachtung der physiologischen Entwicklung, Prinzipien der Erstversorgung und des Schockraummanagements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Entzündliche Erkrankungen, Tumore, angeborene und erworbene Fehlbildungen und Funktionsstörungen des Bewegungsapparates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Physiologie und Pathophysiologie des Neugeborenen, Adaptationsstörungen, häufige Erkrankungen der Neonatalperiode und deren Behandlung, Strategien zur Therapie von angeborenen Fehlbildungen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Grundlagen der Notfallversorgung von Kindern und Jugendlichen inkl. Kreislauftherapie, Medikamentengabe, Beatmungstechniken und Monitoring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 xml:space="preserve">Neurochirurgische Krankheitsbilder bei Kindern und Jugendlichen </w:t>
            </w:r>
          </w:p>
        </w:tc>
      </w:tr>
    </w:tbl>
    <w:p w:rsidR="002270EB" w:rsidRPr="004879F6" w:rsidRDefault="002270EB" w:rsidP="002270EB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napToGrid w:val="0"/>
                <w:sz w:val="20"/>
              </w:rPr>
              <w:tab/>
              <w:t>Erfahrungen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Fachbezogene Statuserhebung, diagnostische Aufarbeitung inkl. Befundinterpretation und PatientInnenaufklärung inkl. Angehörige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Therapieplanung und interdisziplinäre Behandlung inkl. Teilnahme an entsprechenden fachübergreifenden Konferenzen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Fachspezifische Schmerztherapie, Flüssigkeitssubstitution, medikamentöse Therapie, Ernährungsplanung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OP-Vorbereitung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Fachspezifische Qualitätssicherung und Dokumentation</w:t>
            </w:r>
          </w:p>
        </w:tc>
      </w:tr>
      <w:tr w:rsidR="002270EB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lastRenderedPageBreak/>
              <w:t>Langzeitbegleitung chirurgischer Patientinnen und Patienten, fachspezifische Nachsorgemedizin</w:t>
            </w:r>
          </w:p>
        </w:tc>
      </w:tr>
    </w:tbl>
    <w:p w:rsidR="002270EB" w:rsidRPr="004879F6" w:rsidRDefault="002270EB" w:rsidP="002270EB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ind w:left="425" w:hanging="425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napToGrid w:val="0"/>
                <w:sz w:val="20"/>
              </w:rPr>
              <w:tab/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sz w:val="20"/>
              </w:rPr>
              <w:t>Richtzahl</w:t>
            </w: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Klinische Untersuchung, Diagnosestellung, Planung und Organisation der Betreuung von Kindern und Jugendlichen mit chirurgischen Krankheitsbildern inkl. der Durchführung von adäquaten Aufklärungsgesprächen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Anordnung, Probengewinnung und Ergebnisbewertung im Rahmen der fachspezifischen Labordiagnostik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Sonographie bei chirurgischen Krankheitsbildern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250</w:t>
            </w: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Erstellen von </w:t>
            </w: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Flüssigkeits</w:t>
            </w: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 bzw. Ernährungskonzepten: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1"/>
              </w:numPr>
              <w:spacing w:after="0" w:line="240" w:lineRule="auto"/>
              <w:ind w:hanging="294"/>
              <w:contextualSpacing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oral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20</w:t>
            </w: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6"/>
              </w:numPr>
              <w:spacing w:after="0" w:line="240" w:lineRule="auto"/>
              <w:ind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parenteral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20</w:t>
            </w: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Planung von operativen Eingriffen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Lagerung, Desinfektion und Abdeckung bei chirurgischen Eingriffen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Durchführung </w:t>
            </w: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von</w:t>
            </w: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Lokal- und Regionalanästhesie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50</w:t>
            </w: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Umgang </w:t>
            </w: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mit</w:t>
            </w: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chirurgischen Instrumenten und Geräten, Naht-, Punktions- und Katheterisierungstechniken: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6"/>
              </w:numPr>
              <w:spacing w:after="0" w:line="240" w:lineRule="auto"/>
              <w:ind w:hanging="284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Legen von Drainagen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10</w:t>
            </w: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6"/>
              </w:numPr>
              <w:spacing w:after="0" w:line="240" w:lineRule="auto"/>
              <w:ind w:hanging="284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Legen von Kathetern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10</w:t>
            </w: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6"/>
              </w:numPr>
              <w:spacing w:after="0" w:line="240" w:lineRule="auto"/>
              <w:ind w:hanging="28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Legen von zentralvenösen Zugängen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10</w:t>
            </w: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Verbandtechnik inkl. Anlage von immobilisierenden Stützverbänden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Erkennen und Behandeln von perioperativen Infektionen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Wundmanagement, insbesondere bei chronischen Wunden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Peri- und postoperative Betreuung von Kindern und Jugendlichen im Rahmen der fachspezifischen Intensivmedizin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Indikationsstellung und Überwachung von physikalischen Therapien bzw. fachspezifische Rehabilitationsmaßnahmen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Endoskopien: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50</w:t>
            </w: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6"/>
              </w:numPr>
              <w:spacing w:after="0" w:line="240" w:lineRule="auto"/>
              <w:ind w:hanging="284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Gastroskopien, ggf. mit Fremdkörperentfernung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6"/>
              </w:numPr>
              <w:spacing w:after="0" w:line="240" w:lineRule="auto"/>
              <w:ind w:hanging="284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Koloskopien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6"/>
              </w:numPr>
              <w:spacing w:after="0" w:line="240" w:lineRule="auto"/>
              <w:ind w:hanging="284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Tracheobronchoskopien (ggf. mit Fremdkörperentfernung)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6"/>
              </w:numPr>
              <w:spacing w:after="0" w:line="240" w:lineRule="auto"/>
              <w:ind w:hanging="284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Urethrozystoskopien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Früh</w:t>
            </w: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-/Neugeborenenchirurgie:(1. Assistenzen und angeleitete Operationen 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15</w:t>
            </w: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6"/>
              </w:numPr>
              <w:spacing w:after="0" w:line="240" w:lineRule="auto"/>
              <w:ind w:hanging="284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Hernien, Hydrocelen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6"/>
              </w:numPr>
              <w:spacing w:after="0" w:line="240" w:lineRule="auto"/>
              <w:ind w:hanging="284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gastrointestinale Perforationen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6"/>
              </w:numPr>
              <w:spacing w:after="0" w:line="240" w:lineRule="auto"/>
              <w:ind w:hanging="284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Bauchdeckendefekte (z.B. Gastroschisis, Omphalozele)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Eingriffe an den Gefäßen: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5</w:t>
            </w: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7"/>
              </w:numPr>
              <w:spacing w:after="0" w:line="240" w:lineRule="auto"/>
              <w:ind w:hanging="294"/>
              <w:rPr>
                <w:rFonts w:ascii="Times New Roman" w:hAnsi="Times New Roman" w:cs="Times New Roman"/>
                <w:snapToGrid w:val="0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lang w:val="de-DE"/>
              </w:rPr>
              <w:t>operativer Gefäßzugang, zentraler Venenkatheter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7"/>
              </w:numPr>
              <w:spacing w:after="0" w:line="240" w:lineRule="auto"/>
              <w:ind w:hanging="294"/>
              <w:rPr>
                <w:rFonts w:ascii="Times New Roman" w:hAnsi="Times New Roman" w:cs="Times New Roman"/>
                <w:snapToGrid w:val="0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lang w:val="de-DE"/>
              </w:rPr>
              <w:t>Gefäßnaht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7"/>
              </w:numPr>
              <w:spacing w:after="0" w:line="240" w:lineRule="auto"/>
              <w:ind w:hanging="29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lang w:val="de-DE"/>
              </w:rPr>
              <w:t>operative Laserungen/Verödungen/Unterbindungen (z. B. Varikozele)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Eingriffe im Kopf/Halsbereich: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20</w:t>
            </w: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7"/>
              </w:numPr>
              <w:spacing w:after="0" w:line="240" w:lineRule="auto"/>
              <w:ind w:hanging="294"/>
              <w:rPr>
                <w:rFonts w:ascii="Times New Roman" w:hAnsi="Times New Roman" w:cs="Times New Roman"/>
                <w:snapToGrid w:val="0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lang w:val="de-DE"/>
              </w:rPr>
              <w:lastRenderedPageBreak/>
              <w:t>Epidermoidzyste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7"/>
              </w:numPr>
              <w:spacing w:after="0" w:line="240" w:lineRule="auto"/>
              <w:ind w:hanging="294"/>
              <w:rPr>
                <w:rFonts w:ascii="Times New Roman" w:hAnsi="Times New Roman" w:cs="Times New Roman"/>
                <w:snapToGrid w:val="0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lang w:val="de-DE"/>
              </w:rPr>
              <w:t>Fehlbildungen/Fehlentwicklungen (z.B. Halszyste, Halsfistel, branchiogene Reste)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7"/>
              </w:numPr>
              <w:spacing w:after="0" w:line="240" w:lineRule="auto"/>
              <w:ind w:hanging="294"/>
              <w:rPr>
                <w:rFonts w:ascii="Times New Roman" w:hAnsi="Times New Roman" w:cs="Times New Roman"/>
                <w:snapToGrid w:val="0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lang w:val="de-DE"/>
              </w:rPr>
              <w:t>Tracheostomie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7"/>
              </w:numPr>
              <w:spacing w:after="0" w:line="240" w:lineRule="auto"/>
              <w:ind w:hanging="294"/>
              <w:rPr>
                <w:rFonts w:ascii="Times New Roman" w:hAnsi="Times New Roman" w:cs="Times New Roman"/>
                <w:snapToGrid w:val="0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lang w:val="de-DE"/>
              </w:rPr>
              <w:t>tumoröse Läsionen anderer Genese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Eingriffe im Thorax (ink1. Assistenzen und angeleitete Operationen)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10</w:t>
            </w: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7"/>
              </w:numPr>
              <w:spacing w:after="0" w:line="240" w:lineRule="auto"/>
              <w:ind w:hanging="294"/>
              <w:rPr>
                <w:rFonts w:ascii="Times New Roman" w:hAnsi="Times New Roman" w:cs="Times New Roman"/>
                <w:snapToGrid w:val="0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lang w:val="de-DE"/>
              </w:rPr>
              <w:t>Ösophagusatresie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7"/>
              </w:numPr>
              <w:spacing w:after="0" w:line="240" w:lineRule="auto"/>
              <w:ind w:hanging="294"/>
              <w:rPr>
                <w:rFonts w:ascii="Times New Roman" w:hAnsi="Times New Roman" w:cs="Times New Roman"/>
                <w:snapToGrid w:val="0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lang w:val="de-DE"/>
              </w:rPr>
              <w:t>Pleuradrainagen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7"/>
              </w:numPr>
              <w:spacing w:after="0" w:line="240" w:lineRule="auto"/>
              <w:ind w:hanging="294"/>
              <w:rPr>
                <w:rFonts w:ascii="Times New Roman" w:hAnsi="Times New Roman" w:cs="Times New Roman"/>
                <w:snapToGrid w:val="0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lang w:val="de-DE"/>
              </w:rPr>
              <w:t>Fehlbildungen der Thoraxwand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7"/>
              </w:numPr>
              <w:spacing w:after="0" w:line="240" w:lineRule="auto"/>
              <w:ind w:hanging="294"/>
              <w:rPr>
                <w:rFonts w:ascii="Times New Roman" w:hAnsi="Times New Roman" w:cs="Times New Roman"/>
                <w:snapToGrid w:val="0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lang w:val="de-DE"/>
              </w:rPr>
              <w:t>Fehlbildungen der Lunge und der Atemwege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7"/>
              </w:numPr>
              <w:spacing w:after="0" w:line="240" w:lineRule="auto"/>
              <w:ind w:hanging="294"/>
              <w:rPr>
                <w:rFonts w:ascii="Times New Roman" w:hAnsi="Times New Roman" w:cs="Times New Roman"/>
                <w:snapToGrid w:val="0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lang w:val="de-DE"/>
              </w:rPr>
              <w:t>tumoröse Läsionen (z.B. Neuroblastom, Ewing-Sarkom, etc.)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7"/>
              </w:numPr>
              <w:spacing w:after="0" w:line="240" w:lineRule="auto"/>
              <w:ind w:hanging="294"/>
              <w:rPr>
                <w:rFonts w:ascii="Times New Roman" w:hAnsi="Times New Roman" w:cs="Times New Roman"/>
                <w:snapToGrid w:val="0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lang w:val="de-DE"/>
              </w:rPr>
              <w:t>Lungenparenchymresektionen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7"/>
              </w:numPr>
              <w:spacing w:after="0" w:line="240" w:lineRule="auto"/>
              <w:ind w:hanging="294"/>
              <w:rPr>
                <w:rFonts w:ascii="Times New Roman" w:hAnsi="Times New Roman" w:cs="Times New Roman"/>
                <w:snapToGrid w:val="0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lang w:val="de-DE"/>
              </w:rPr>
              <w:t>Allfällig OP an den großen herznahen Gefäßen (z.B. Verschluss eines Ductus Botalli)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Eingriffe an der Bauchwand: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30</w:t>
            </w: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7"/>
              </w:numPr>
              <w:spacing w:after="0" w:line="240" w:lineRule="auto"/>
              <w:ind w:hanging="294"/>
              <w:rPr>
                <w:rFonts w:ascii="Times New Roman" w:hAnsi="Times New Roman" w:cs="Times New Roman"/>
                <w:snapToGrid w:val="0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lang w:val="de-DE"/>
              </w:rPr>
              <w:t xml:space="preserve">Korrektur äußerer Hernien: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1"/>
                <w:numId w:val="7"/>
              </w:numPr>
              <w:spacing w:after="0" w:line="240" w:lineRule="auto"/>
              <w:ind w:left="1134" w:hanging="337"/>
              <w:rPr>
                <w:rFonts w:ascii="Times New Roman" w:hAnsi="Times New Roman" w:cs="Times New Roman"/>
                <w:snapToGrid w:val="0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lang w:val="de-DE"/>
              </w:rPr>
              <w:t>epigastrische Hernien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1"/>
                <w:numId w:val="7"/>
              </w:numPr>
              <w:spacing w:after="0" w:line="240" w:lineRule="auto"/>
              <w:ind w:left="1134" w:hanging="337"/>
              <w:rPr>
                <w:rFonts w:ascii="Times New Roman" w:hAnsi="Times New Roman" w:cs="Times New Roman"/>
                <w:snapToGrid w:val="0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lang w:val="de-DE"/>
              </w:rPr>
              <w:t>Umbilikalhernien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1"/>
                <w:numId w:val="7"/>
              </w:numPr>
              <w:spacing w:after="0" w:line="240" w:lineRule="auto"/>
              <w:ind w:left="1134" w:hanging="337"/>
              <w:rPr>
                <w:rFonts w:ascii="Times New Roman" w:hAnsi="Times New Roman" w:cs="Times New Roman"/>
                <w:snapToGrid w:val="0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lang w:val="de-DE"/>
              </w:rPr>
              <w:t>Inguinalhernien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7"/>
              </w:numPr>
              <w:spacing w:after="0" w:line="240" w:lineRule="auto"/>
              <w:ind w:hanging="294"/>
              <w:rPr>
                <w:rFonts w:ascii="Times New Roman" w:hAnsi="Times New Roman" w:cs="Times New Roman"/>
                <w:snapToGrid w:val="0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lang w:val="de-DE"/>
              </w:rPr>
              <w:t xml:space="preserve">Hydrozelen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7"/>
              </w:numPr>
              <w:spacing w:after="0" w:line="240" w:lineRule="auto"/>
              <w:ind w:hanging="294"/>
              <w:rPr>
                <w:rFonts w:ascii="Times New Roman" w:hAnsi="Times New Roman" w:cs="Times New Roman"/>
                <w:snapToGrid w:val="0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lang w:val="de-DE"/>
              </w:rPr>
              <w:t>Bauchdeckenplastik (Rektusdiastase)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Eingriffe</w:t>
            </w: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an abdominellen Organen: (1. Assistenzen und angeleitete Operationen) </w:t>
            </w:r>
          </w:p>
          <w:p w:rsidR="002270EB" w:rsidRPr="004879F6" w:rsidRDefault="002270EB" w:rsidP="00267BCC">
            <w:pPr>
              <w:spacing w:after="0" w:line="240" w:lineRule="auto"/>
              <w:ind w:left="36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 xml:space="preserve"> davon laparoskopisch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80</w:t>
            </w:r>
          </w:p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10</w:t>
            </w: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Magenausgangstenose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Zwerchfellmissbildung mit abdominalem Zugang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ind w:left="709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Operationen bei gastroösophagealem Reflux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Operationen an Milz, Pankreas, Leber und Gallenwegen (PE/CHE)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Anlage und Verschluss von Enterostomien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abdominelle/retroperitoneale Tumore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Darmanastomosen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Eingriffe am Anorektum (Fehlbildungen/Fistel/Prolaps/etc.)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Korrektur anorektaler Missbildungen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Appendektomien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25</w:t>
            </w: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Invaginationen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Eingriffe am Urogenitaltrakt: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40</w:t>
            </w: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Eingriffe am Hoden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ind w:left="709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Eingriffe an den Ovarien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Eingriffe am Penis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Eingriffe an der Niere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Eingriffe an Harnleiter/Blase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Korrektur von urogenitalen Fehlbildungen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urogenitale Tumorchirurgie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ind w:left="709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Allfällige Kinder- und Jugendtraumatologie: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25</w:t>
            </w: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Extremitäten-Trauma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Operative und konservative Frakturversorgung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Sehnen-/Nervennaht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Chirurgische Behandlung einer Amputation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operative Frakturstabilisierung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Versorgung von Weichteiltrauma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Verbrennungsbehandlung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Weichteil und Organverletzungen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S</w:t>
            </w: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eptische</w:t>
            </w: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 xml:space="preserve"> Chirurgie: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15</w:t>
            </w: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Abszesse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Fistel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Sequester/Osteomyelitis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Phlegmone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ind w:left="36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Plastisch</w:t>
            </w: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-rekonstruktive Eingriffe: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</w:rPr>
              <w:t>10</w:t>
            </w: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Lappenplastiken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trike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chirurgische Narbenbehandlung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trike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Hand-/Fußfehlbildungen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trike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Ohranlegeplastiken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trike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Hautersatzverfahren, Hauttransplantation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trike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Resektionen von Hautveränderungen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trike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tumoröse Läsionen der Haut und Subkutis (Lymphangiom, Hämangiom, etc.)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trike/>
                <w:snapToGrid w:val="0"/>
                <w:sz w:val="20"/>
              </w:rPr>
            </w:pPr>
          </w:p>
        </w:tc>
      </w:tr>
      <w:tr w:rsidR="002270E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270EB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chirurgische Laserungen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2270EB" w:rsidRPr="004879F6" w:rsidRDefault="002270EB" w:rsidP="00267BCC">
            <w:pPr>
              <w:spacing w:after="0"/>
              <w:rPr>
                <w:rFonts w:ascii="Times New Roman" w:hAnsi="Times New Roman" w:cs="Times New Roman"/>
                <w:strike/>
                <w:snapToGrid w:val="0"/>
                <w:sz w:val="20"/>
              </w:rPr>
            </w:pPr>
          </w:p>
        </w:tc>
      </w:tr>
    </w:tbl>
    <w:p w:rsidR="002270EB" w:rsidRPr="004879F6" w:rsidRDefault="002270EB" w:rsidP="002270EB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2270EB" w:rsidRDefault="002270EB" w:rsidP="002270EB">
      <w:pPr>
        <w:rPr>
          <w:rFonts w:ascii="Times New Roman" w:hAnsi="Times New Roman" w:cs="Times New Roman"/>
          <w:b/>
          <w:sz w:val="20"/>
        </w:rPr>
      </w:pPr>
    </w:p>
    <w:p w:rsidR="002270EB" w:rsidRDefault="002270EB" w:rsidP="002270EB">
      <w:pPr>
        <w:rPr>
          <w:rFonts w:ascii="Times New Roman" w:hAnsi="Times New Roman" w:cs="Times New Roman"/>
          <w:b/>
          <w:sz w:val="20"/>
        </w:rPr>
      </w:pPr>
    </w:p>
    <w:p w:rsidR="002270EB" w:rsidRPr="004879F6" w:rsidRDefault="002270EB" w:rsidP="002270EB">
      <w:pPr>
        <w:rPr>
          <w:rFonts w:ascii="Times New Roman" w:hAnsi="Times New Roman" w:cs="Times New Roman"/>
          <w:b/>
          <w:sz w:val="20"/>
        </w:rPr>
      </w:pPr>
    </w:p>
    <w:p w:rsidR="00F17FAD" w:rsidRDefault="00F17FAD"/>
    <w:sectPr w:rsidR="00F17FA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0EB" w:rsidRDefault="002270EB" w:rsidP="002270EB">
      <w:pPr>
        <w:spacing w:after="0" w:line="240" w:lineRule="auto"/>
      </w:pPr>
      <w:r>
        <w:separator/>
      </w:r>
    </w:p>
  </w:endnote>
  <w:endnote w:type="continuationSeparator" w:id="0">
    <w:p w:rsidR="002270EB" w:rsidRDefault="002270EB" w:rsidP="0022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0EB" w:rsidRPr="002270EB" w:rsidRDefault="009D74B1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ÄAO 2015, 3. Nov. </w:t>
    </w:r>
    <w:r w:rsidR="002270EB" w:rsidRPr="002270EB">
      <w:rPr>
        <w:rFonts w:ascii="Times New Roman" w:hAnsi="Times New Roman" w:cs="Times New Roman"/>
        <w:sz w:val="18"/>
        <w:szCs w:val="18"/>
      </w:rPr>
      <w:t>KEF u RZ</w:t>
    </w:r>
    <w:r>
      <w:rPr>
        <w:rFonts w:ascii="Times New Roman" w:hAnsi="Times New Roman" w:cs="Times New Roman"/>
        <w:sz w:val="18"/>
        <w:szCs w:val="18"/>
      </w:rPr>
      <w:t>-</w:t>
    </w:r>
    <w:r w:rsidR="002270EB" w:rsidRPr="002270EB">
      <w:rPr>
        <w:rFonts w:ascii="Times New Roman" w:hAnsi="Times New Roman" w:cs="Times New Roman"/>
        <w:sz w:val="18"/>
        <w:szCs w:val="18"/>
      </w:rPr>
      <w:t xml:space="preserve">V 2015, </w:t>
    </w:r>
    <w:r>
      <w:rPr>
        <w:rFonts w:ascii="Times New Roman" w:hAnsi="Times New Roman" w:cs="Times New Roman"/>
        <w:sz w:val="18"/>
        <w:szCs w:val="18"/>
      </w:rPr>
      <w:t>Version 1.</w:t>
    </w:r>
    <w:r w:rsidR="00155343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 xml:space="preserve">. für </w:t>
    </w:r>
    <w:r w:rsidR="002270EB" w:rsidRPr="002270EB">
      <w:rPr>
        <w:rFonts w:ascii="Times New Roman" w:hAnsi="Times New Roman" w:cs="Times New Roman"/>
        <w:sz w:val="18"/>
        <w:szCs w:val="18"/>
      </w:rPr>
      <w:t xml:space="preserve">Ausbildungsbeginn </w:t>
    </w:r>
    <w:r>
      <w:rPr>
        <w:rFonts w:ascii="Times New Roman" w:hAnsi="Times New Roman" w:cs="Times New Roman"/>
        <w:sz w:val="18"/>
        <w:szCs w:val="18"/>
      </w:rPr>
      <w:t xml:space="preserve">ab </w:t>
    </w:r>
    <w:r w:rsidR="002270EB" w:rsidRPr="002270EB">
      <w:rPr>
        <w:rFonts w:ascii="Times New Roman" w:hAnsi="Times New Roman" w:cs="Times New Roman"/>
        <w:sz w:val="18"/>
        <w:szCs w:val="18"/>
      </w:rPr>
      <w:t>01.01.2020</w:t>
    </w:r>
    <w:r w:rsidR="002270EB" w:rsidRPr="002270EB">
      <w:rPr>
        <w:rFonts w:ascii="Times New Roman" w:hAnsi="Times New Roman" w:cs="Times New Roman"/>
        <w:sz w:val="18"/>
        <w:szCs w:val="18"/>
      </w:rPr>
      <w:tab/>
    </w:r>
    <w:r w:rsidR="002270EB" w:rsidRPr="002270EB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2270EB" w:rsidRPr="002270EB">
      <w:rPr>
        <w:rFonts w:ascii="Times New Roman" w:hAnsi="Times New Roman" w:cs="Times New Roman"/>
        <w:bCs/>
        <w:sz w:val="18"/>
        <w:szCs w:val="18"/>
      </w:rPr>
      <w:fldChar w:fldCharType="begin"/>
    </w:r>
    <w:r w:rsidR="002270EB" w:rsidRPr="002270EB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2270EB" w:rsidRPr="002270EB">
      <w:rPr>
        <w:rFonts w:ascii="Times New Roman" w:hAnsi="Times New Roman" w:cs="Times New Roman"/>
        <w:bCs/>
        <w:sz w:val="18"/>
        <w:szCs w:val="18"/>
      </w:rPr>
      <w:fldChar w:fldCharType="separate"/>
    </w:r>
    <w:r w:rsidR="00155343" w:rsidRPr="00155343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2270EB" w:rsidRPr="002270EB">
      <w:rPr>
        <w:rFonts w:ascii="Times New Roman" w:hAnsi="Times New Roman" w:cs="Times New Roman"/>
        <w:bCs/>
        <w:sz w:val="18"/>
        <w:szCs w:val="18"/>
      </w:rPr>
      <w:fldChar w:fldCharType="end"/>
    </w:r>
    <w:r w:rsidR="002270EB" w:rsidRPr="002270EB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2270EB" w:rsidRPr="002270EB">
      <w:rPr>
        <w:rFonts w:ascii="Times New Roman" w:hAnsi="Times New Roman" w:cs="Times New Roman"/>
        <w:bCs/>
        <w:sz w:val="18"/>
        <w:szCs w:val="18"/>
      </w:rPr>
      <w:fldChar w:fldCharType="begin"/>
    </w:r>
    <w:r w:rsidR="002270EB" w:rsidRPr="002270EB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2270EB" w:rsidRPr="002270EB">
      <w:rPr>
        <w:rFonts w:ascii="Times New Roman" w:hAnsi="Times New Roman" w:cs="Times New Roman"/>
        <w:bCs/>
        <w:sz w:val="18"/>
        <w:szCs w:val="18"/>
      </w:rPr>
      <w:fldChar w:fldCharType="separate"/>
    </w:r>
    <w:r w:rsidR="00155343" w:rsidRPr="00155343">
      <w:rPr>
        <w:rFonts w:ascii="Times New Roman" w:hAnsi="Times New Roman" w:cs="Times New Roman"/>
        <w:bCs/>
        <w:noProof/>
        <w:sz w:val="18"/>
        <w:szCs w:val="18"/>
        <w:lang w:val="de-DE"/>
      </w:rPr>
      <w:t>6</w:t>
    </w:r>
    <w:r w:rsidR="002270EB" w:rsidRPr="002270EB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0EB" w:rsidRDefault="002270EB" w:rsidP="002270EB">
      <w:pPr>
        <w:spacing w:after="0" w:line="240" w:lineRule="auto"/>
      </w:pPr>
      <w:r>
        <w:separator/>
      </w:r>
    </w:p>
  </w:footnote>
  <w:footnote w:type="continuationSeparator" w:id="0">
    <w:p w:rsidR="002270EB" w:rsidRDefault="002270EB" w:rsidP="00227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2FBB"/>
    <w:multiLevelType w:val="hybridMultilevel"/>
    <w:tmpl w:val="4BD8F7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F90"/>
    <w:multiLevelType w:val="hybridMultilevel"/>
    <w:tmpl w:val="D646C892"/>
    <w:lvl w:ilvl="0" w:tplc="1A1AD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52271"/>
    <w:multiLevelType w:val="hybridMultilevel"/>
    <w:tmpl w:val="6B68D4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9196D"/>
    <w:multiLevelType w:val="hybridMultilevel"/>
    <w:tmpl w:val="5E740496"/>
    <w:lvl w:ilvl="0" w:tplc="13424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A3AEA"/>
    <w:multiLevelType w:val="hybridMultilevel"/>
    <w:tmpl w:val="004253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01D0B"/>
    <w:multiLevelType w:val="hybridMultilevel"/>
    <w:tmpl w:val="CD942DDA"/>
    <w:lvl w:ilvl="0" w:tplc="277E8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C6E62"/>
    <w:multiLevelType w:val="hybridMultilevel"/>
    <w:tmpl w:val="EFDC564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D7DF7"/>
    <w:multiLevelType w:val="hybridMultilevel"/>
    <w:tmpl w:val="6102F916"/>
    <w:lvl w:ilvl="0" w:tplc="1754674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250C"/>
    <w:multiLevelType w:val="hybridMultilevel"/>
    <w:tmpl w:val="CDA49334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065455D"/>
    <w:multiLevelType w:val="hybridMultilevel"/>
    <w:tmpl w:val="9840634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D4098"/>
    <w:multiLevelType w:val="hybridMultilevel"/>
    <w:tmpl w:val="A1E69208"/>
    <w:lvl w:ilvl="0" w:tplc="42AC2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EB"/>
    <w:rsid w:val="00155343"/>
    <w:rsid w:val="002270EB"/>
    <w:rsid w:val="009D74B1"/>
    <w:rsid w:val="00F1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C39B"/>
  <w15:chartTrackingRefBased/>
  <w15:docId w15:val="{48E352CF-A3FC-4E99-BD66-11142E35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70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27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70EB"/>
  </w:style>
  <w:style w:type="paragraph" w:styleId="Fuzeile">
    <w:name w:val="footer"/>
    <w:basedOn w:val="Standard"/>
    <w:link w:val="FuzeileZchn"/>
    <w:uiPriority w:val="99"/>
    <w:unhideWhenUsed/>
    <w:rsid w:val="00227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3</cp:revision>
  <dcterms:created xsi:type="dcterms:W3CDTF">2020-01-20T14:55:00Z</dcterms:created>
  <dcterms:modified xsi:type="dcterms:W3CDTF">2020-03-30T09:44:00Z</dcterms:modified>
</cp:coreProperties>
</file>