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0EB" w:rsidRPr="004879F6" w:rsidRDefault="002270EB" w:rsidP="002270EB">
      <w:pPr>
        <w:jc w:val="right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Anlage 6.4</w:t>
      </w:r>
    </w:p>
    <w:p w:rsidR="002270EB" w:rsidRPr="004879F6" w:rsidRDefault="002270EB" w:rsidP="002270EB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Ausbildungsinhalte</w:t>
      </w:r>
    </w:p>
    <w:p w:rsidR="002270EB" w:rsidRPr="004879F6" w:rsidRDefault="002270EB" w:rsidP="002270EB">
      <w:pPr>
        <w:spacing w:after="0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>zum Sonderfach Kinder- und Jugendchirurgie</w:t>
      </w:r>
    </w:p>
    <w:p w:rsidR="002270EB" w:rsidRPr="004879F6" w:rsidRDefault="002270EB" w:rsidP="002270E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p w:rsidR="002270EB" w:rsidRPr="004879F6" w:rsidRDefault="002270EB" w:rsidP="002270EB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 w:cs="Times New Roman"/>
          <w:b/>
          <w:sz w:val="20"/>
        </w:rPr>
        <w:t xml:space="preserve">Sonderfach Grundausbildung (15 Monate) </w:t>
      </w:r>
    </w:p>
    <w:p w:rsidR="002270EB" w:rsidRPr="00DA4C2A" w:rsidRDefault="002270EB" w:rsidP="002270EB">
      <w:pPr>
        <w:spacing w:after="0"/>
        <w:jc w:val="center"/>
        <w:rPr>
          <w:rFonts w:ascii="Times New Roman" w:hAnsi="Times New Roman" w:cs="Times New Roman"/>
          <w:b/>
          <w:strike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2270EB" w:rsidRPr="00DA4C2A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DA4C2A" w:rsidRDefault="002270EB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DA4C2A">
              <w:rPr>
                <w:rFonts w:ascii="Times New Roman" w:hAnsi="Times New Roman" w:cs="Times New Roman"/>
                <w:b/>
                <w:snapToGrid w:val="0"/>
                <w:sz w:val="20"/>
              </w:rPr>
              <w:t>A)</w:t>
            </w:r>
            <w:r w:rsidRPr="00DA4C2A">
              <w:rPr>
                <w:rFonts w:ascii="Times New Roman" w:hAnsi="Times New Roman" w:cs="Times New Roman"/>
                <w:b/>
                <w:snapToGrid w:val="0"/>
                <w:sz w:val="20"/>
              </w:rPr>
              <w:tab/>
              <w:t xml:space="preserve">Kenntnisse </w:t>
            </w:r>
          </w:p>
        </w:tc>
      </w:tr>
      <w:tr w:rsidR="002270EB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284" w:hanging="284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Ätiologie, Pathophysiologie und Pathogenese von Erkrankungen</w:t>
            </w:r>
          </w:p>
        </w:tc>
      </w:tr>
      <w:tr w:rsidR="002270EB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Qualitätssicherung und Qualitätsmanagement einschließlich des Fehler- und Risikomanagements</w:t>
            </w:r>
          </w:p>
        </w:tc>
      </w:tr>
      <w:tr w:rsidR="002270EB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 xml:space="preserve">Chirurgische Beratung und Gesprächsführung </w:t>
            </w:r>
          </w:p>
        </w:tc>
      </w:tr>
      <w:tr w:rsidR="002270EB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Interdisziplinäre Zusammenarbeit und Grundlagen der multidisziplinären Koordination und Kooperation, insbesondere Orientierung über soziale Einrichtungen, Institutionen und Möglichkeiten der Rehabilitation</w:t>
            </w:r>
          </w:p>
        </w:tc>
      </w:tr>
      <w:tr w:rsidR="002270EB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Einflüsse von psychosozialen und umweltbedingten Faktoren auf die Gesundheit</w:t>
            </w:r>
          </w:p>
        </w:tc>
      </w:tr>
      <w:tr w:rsidR="002270EB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 xml:space="preserve">Grundlagen der Pharmakotherapie einschließlich der Wechselwirkungen der Arzneimittel </w:t>
            </w:r>
          </w:p>
        </w:tc>
      </w:tr>
      <w:tr w:rsidR="002270EB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Gastrointestinale Endoskopie</w:t>
            </w:r>
          </w:p>
        </w:tc>
      </w:tr>
      <w:tr w:rsidR="002270EB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Psychosomatische Medizin</w:t>
            </w:r>
          </w:p>
        </w:tc>
      </w:tr>
      <w:tr w:rsidR="002270EB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 xml:space="preserve">Betreuung von Menschen mit besonderen Bedürfnissen </w:t>
            </w:r>
          </w:p>
        </w:tc>
      </w:tr>
      <w:tr w:rsidR="002270EB" w:rsidRPr="004879F6" w:rsidTr="00267BCC"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Kenntnisse in Gesundheitsberatung, Prävention, Vorsorgemedizin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Grundlagen der Dokumentation und Arzthaftung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Grundlagen der multidisziplinären Koordination und Kooperation, insbesondere mit anderen Gesundheitsberufen und Möglichkeiten der Rehabilitation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Gesundheitsökonomische Auswirkungen ärztlichen Handelns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Ethik ärztlichen Handelns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Maßnahmen zur Patientinnen- und Patientensicherheit</w:t>
            </w:r>
          </w:p>
        </w:tc>
      </w:tr>
      <w:tr w:rsidR="002270EB" w:rsidRPr="004879F6" w:rsidTr="00267BCC">
        <w:trPr>
          <w:trHeight w:val="279"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Palliativmedizin</w:t>
            </w:r>
          </w:p>
        </w:tc>
      </w:tr>
      <w:tr w:rsidR="002270EB" w:rsidRPr="004879F6" w:rsidTr="00267BCC">
        <w:trPr>
          <w:trHeight w:val="259"/>
        </w:trPr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9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Schmerztherapie</w:t>
            </w:r>
          </w:p>
        </w:tc>
      </w:tr>
    </w:tbl>
    <w:p w:rsidR="002270EB" w:rsidRPr="004879F6" w:rsidRDefault="002270EB" w:rsidP="002270EB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DA4C2A" w:rsidRDefault="002270EB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DA4C2A">
              <w:rPr>
                <w:rFonts w:ascii="Times New Roman" w:hAnsi="Times New Roman" w:cs="Times New Roman"/>
                <w:b/>
                <w:snapToGrid w:val="0"/>
                <w:sz w:val="20"/>
              </w:rPr>
              <w:t>B)</w:t>
            </w:r>
            <w:r w:rsidRPr="00DA4C2A">
              <w:rPr>
                <w:rFonts w:ascii="Times New Roman" w:hAnsi="Times New Roman" w:cs="Times New Roman"/>
                <w:b/>
                <w:snapToGrid w:val="0"/>
                <w:sz w:val="20"/>
              </w:rPr>
              <w:tab/>
              <w:t>Erfahrungen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0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Diagnose, Behandlungen und Nachsorge von chirurgischen Erkrankungen und Verletzungen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 xml:space="preserve">Interdisziplinäre Indikationsstellung zur weiterführenden Diagnostik einschließlich der      Differentialindikation und fachspezifischer Interpretation von Befunden 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Indikationsstellung zur konservativen, interventionellen und operativen Behandlung gebietsbezogener Erkrankungen und Verletzungen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Risikoeinschätzung der geplanten chirurgischen Eingriffe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Analgesierungs- und Sedierungsmaßnahmen einschließlich fachspezifische Schmerztherapie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Perioperatives Gerinnungsmanagement inkl. Thromboseprophylaxe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Behandlung von chirurgischen Notfallsituationen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 xml:space="preserve">Transfusions- und Blutersatz (Blutkomponenten)-therapie 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Enterale und parenterale Ernährung einschließlich Sondentechnik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Betreuung von chirurgischen Patientinne</w:t>
            </w:r>
            <w:bookmarkStart w:id="0" w:name="_GoBack"/>
            <w:bookmarkEnd w:id="0"/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 xml:space="preserve">n und Patienten auf einer Intensivstation 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lastRenderedPageBreak/>
              <w:t xml:space="preserve">Fachspezifische Qualitätssicherung und Dokumentation 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Strahlenschutz bei Patientinnen und Patienten und Personal gemäß den geltenden rechtlichen Bestimmungen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0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Indikationsstellung und Überwachung physikalischer Therapiemaßnahmen</w:t>
            </w:r>
          </w:p>
        </w:tc>
      </w:tr>
    </w:tbl>
    <w:p w:rsidR="002270EB" w:rsidRPr="004879F6" w:rsidRDefault="002270EB" w:rsidP="002270EB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14"/>
        <w:gridCol w:w="1512"/>
      </w:tblGrid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DA4C2A" w:rsidRDefault="002270EB" w:rsidP="00267BCC">
            <w:pPr>
              <w:tabs>
                <w:tab w:val="left" w:pos="425"/>
              </w:tabs>
              <w:spacing w:after="0"/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DA4C2A">
              <w:rPr>
                <w:rFonts w:ascii="Times New Roman" w:hAnsi="Times New Roman" w:cs="Times New Roman"/>
                <w:b/>
                <w:snapToGrid w:val="0"/>
                <w:sz w:val="20"/>
              </w:rPr>
              <w:t>C)</w:t>
            </w:r>
            <w:r w:rsidRPr="00DA4C2A">
              <w:rPr>
                <w:rFonts w:ascii="Times New Roman" w:hAnsi="Times New Roman" w:cs="Times New Roman"/>
                <w:b/>
                <w:snapToGrid w:val="0"/>
                <w:sz w:val="20"/>
              </w:rPr>
              <w:tab/>
              <w:t>Fertigkeiten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Richtzahl</w:t>
            </w: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1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Planung von operativen Interventionen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Prinzipien der Patientinnen- und Patientenlagerung, Desinfektion und Abdeckung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Lokal- oder Regionalanästhesien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5</w:t>
            </w: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Wundversorgung, Wundbehandlung und Verbandslehre, Möglichkeiten der Versorgung von Wundheilungsstörungen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30</w:t>
            </w: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Erkennen und Behandlung von perioperativen Infektionen einschließlich epidemiologischer Grundlagen sowie Hygienemaßnahmen und Impfprophylaxe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10</w:t>
            </w: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Indikationsstellung, sachgerechte Probengewinnung und -behandlung für Laboruntersuchungen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Information und Kommunikation mit Patientinnen und Patienten und Angehörigen über Vorbereitung, Indikation, Durchführung und Risiken von Untersuchungen und Behandlungen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Schriftliche Zusammenfassung, Dokumentation und Bewertung von Krankheitsverläufen sowie der sich daraus ergebenden Prognosen (Fähigkeit zur Erstellung von Attesten, Zeugnissen etc.)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 xml:space="preserve">Sonographie bei chirurgischen Erkrankungen und Verletzungen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150</w:t>
            </w: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 xml:space="preserve">Punktions- und Katheterisierungstechniken einschließlich der Gewinnung von Untersuchungsmaterial 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5</w:t>
            </w: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1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Infusions-, Transfusions- und Blutersatztherapie, enterale und parenterale Ernährung einschließlich Sondentechnik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50</w:t>
            </w: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Erste Assistenzen bei Operationen und angeleitete Operationen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50</w:t>
            </w: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Durchführung von einfachen Operationen/Interventionen und Teilschritten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 xml:space="preserve">100 </w:t>
            </w: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Management von chirurgischen Notfallsituationen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rPr>
          <w:cantSplit/>
        </w:trPr>
        <w:tc>
          <w:tcPr>
            <w:tcW w:w="8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5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Fachspezifische Schmerztherapie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</w:tbl>
    <w:p w:rsidR="002270EB" w:rsidRPr="004879F6" w:rsidRDefault="002270EB" w:rsidP="002270EB">
      <w:pPr>
        <w:spacing w:after="0"/>
        <w:jc w:val="center"/>
        <w:outlineLvl w:val="0"/>
        <w:rPr>
          <w:rFonts w:ascii="Times New Roman" w:hAnsi="Times New Roman" w:cs="Times New Roman"/>
          <w:b/>
          <w:sz w:val="20"/>
        </w:rPr>
      </w:pPr>
    </w:p>
    <w:p w:rsidR="002270EB" w:rsidRPr="004879F6" w:rsidRDefault="002270EB" w:rsidP="002270EB">
      <w:pPr>
        <w:spacing w:after="0" w:line="240" w:lineRule="atLeast"/>
        <w:jc w:val="center"/>
        <w:rPr>
          <w:rFonts w:ascii="Times New Roman" w:hAnsi="Times New Roman" w:cs="Times New Roman"/>
          <w:b/>
          <w:sz w:val="20"/>
        </w:rPr>
      </w:pPr>
      <w:r w:rsidRPr="004879F6">
        <w:rPr>
          <w:rFonts w:ascii="Times New Roman" w:hAnsi="Times New Roman"/>
          <w:sz w:val="20"/>
        </w:rPr>
        <w:br w:type="page"/>
      </w:r>
      <w:r w:rsidRPr="004879F6">
        <w:rPr>
          <w:rFonts w:ascii="Times New Roman" w:hAnsi="Times New Roman" w:cs="Times New Roman"/>
          <w:b/>
          <w:sz w:val="20"/>
        </w:rPr>
        <w:lastRenderedPageBreak/>
        <w:t>Sonderfach Schwerpunktausbildung (48 Monate)</w:t>
      </w:r>
    </w:p>
    <w:p w:rsidR="002270EB" w:rsidRPr="004879F6" w:rsidRDefault="002270EB" w:rsidP="002270EB">
      <w:pPr>
        <w:spacing w:after="0"/>
        <w:jc w:val="center"/>
        <w:rPr>
          <w:rFonts w:ascii="Times New Roman" w:hAnsi="Times New Roman" w:cs="Times New Roman"/>
          <w:b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</w:rPr>
              <w:t>A)</w:t>
            </w: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</w:rPr>
              <w:tab/>
              <w:t xml:space="preserve">Kenntnisse 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Prävention, Unfallverhütung und Gesundheitsberatung bei Kindern und Jugendlichen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Epidemiologie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Ärztliches Gespräch und Anamneseerhebung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Palliativmedizin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Kinder- und Jugendschutz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Kindliche Anatomie und deren Veränderung im Rahmen der Entwicklung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Physiologie, Pathophysiologie, angeborene Veränderungen sowie Pathologie aller Organe und Organsysteme des Kindes mit spezieller Berücksichtigung von Embryologie, Genetik, Entwicklung, Wachstum und Ernährung inkl. Kenntnis der altersbezogenen Normalwerte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Grundlagen der Pädiatrie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 xml:space="preserve">Perioperatives Management 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Instrumentenkunde und Gerätelehre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Hygienemaßnahmen, Infektionslehre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Operationstechniken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Grundprinzipien konservativer Behandlung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Intensivtherapie, Notfall- und Katastrophenmedizin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 xml:space="preserve">Psychosomatische Medizin 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Klinische Diagnostik bei Kindern und Jugendlichen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Prä- und perinatale Medizin inkl. der speziellen pränatalen Diagnostik, möglicher Interventionen und fachspezifischer Erstversorgung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Epidemiologie, Pathogenese und biologisches Verhalten von Tumoren inkl. deren Genetik und ihr Auftreten im Rahmen von Syndromen und Grundprinzipien onkologischer und chirurgischer Therapie der häufigsten kindlichen Tumoren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Epidemiologie, Pathogenese und Therapie des kindlichen Traumas unter Beachtung der physiologischen Entwicklung, Prinzipien der Erstversorgung und des Schockraummanagements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Entzündliche Erkrankungen, Tumore, angeborene und erworbene Fehlbildungen und Funktionsstörungen des Bewegungsapparates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Physiologie und Pathophysiologie des Neugeborenen, Adaptationsstörungen, häufige Erkrankungen der Neonatalperiode und deren Behandlung, Strategien zur Therapie von angeborenen Fehlbildungen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Grundlagen der Notfallversorgung von Kindern und Jugendlichen inkl. Kreislauftherapie, Medikamentengabe, Beatmungstechniken und Monitoring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4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 xml:space="preserve">Neurochirurgische Krankheitsbilder bei Kindern und Jugendlichen </w:t>
            </w:r>
          </w:p>
        </w:tc>
      </w:tr>
    </w:tbl>
    <w:p w:rsidR="002270EB" w:rsidRPr="004879F6" w:rsidRDefault="002270EB" w:rsidP="002270EB">
      <w:pPr>
        <w:spacing w:after="0" w:line="240" w:lineRule="atLeast"/>
        <w:rPr>
          <w:rFonts w:ascii="Times New Roman" w:hAnsi="Times New Roman"/>
          <w:sz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26"/>
      </w:tblGrid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tabs>
                <w:tab w:val="left" w:pos="425"/>
              </w:tabs>
              <w:spacing w:after="0"/>
              <w:ind w:left="425" w:hanging="425"/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</w:rPr>
              <w:t>B)</w:t>
            </w: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</w:rPr>
              <w:tab/>
              <w:t>Erfahrungen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Fachbezogene Statuserhebung, diagnostische Aufarbeitung inkl. Befundinterpretation und PatientInnenaufklärung inkl. Angehörige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Therapieplanung und interdisziplinäre Behandlung inkl. Teilnahme an entsprechenden fachübergreifenden Konferenzen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Fachspezifische Schmerztherapie, Flüssigkeitssubstitution, medikamentöse Therapie, Ernährungsplanung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OP-Vorbereitung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Fachspezifische Qualitätssicherung und Dokumentation</w:t>
            </w:r>
          </w:p>
        </w:tc>
      </w:tr>
      <w:tr w:rsidR="002270EB" w:rsidRPr="004879F6" w:rsidTr="00267BCC">
        <w:tc>
          <w:tcPr>
            <w:tcW w:w="9526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2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lastRenderedPageBreak/>
              <w:t>Langzeitbegleitung chirurgischer Patientinnen und Patienten, fachspezifische Nachsorgemedizin</w:t>
            </w:r>
          </w:p>
        </w:tc>
      </w:tr>
    </w:tbl>
    <w:p w:rsidR="002270EB" w:rsidRPr="004879F6" w:rsidRDefault="002270EB" w:rsidP="002270E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ind w:left="425" w:hanging="425"/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</w:rPr>
              <w:t>C)</w:t>
            </w: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</w:rPr>
              <w:tab/>
              <w:t>Fertigkeiten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b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b/>
                <w:snapToGrid w:val="0"/>
                <w:sz w:val="20"/>
              </w:rPr>
              <w:t>Richtzahl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Klinische Untersuchung, Diagnosestellung, Planung und Organisation der Betreuung von Kindern und Jugendlichen mit chirurgischen Krankheitsbildern inkl. der Durchführung von adäquaten Aufklärungsgesprächen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Anordnung, Probengewinnung und Ergebnisbewertung im Rahmen der fachspezifischen Labordiagnostik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Sonographie bei chirurgischen Krankheitsbildern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250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Erstellen von 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Flüssigkeits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- bzw. Ernährungskonzepten: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1"/>
              </w:numPr>
              <w:spacing w:after="0" w:line="240" w:lineRule="auto"/>
              <w:ind w:hanging="294"/>
              <w:contextualSpacing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oral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20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6"/>
              </w:numPr>
              <w:spacing w:after="0" w:line="240" w:lineRule="auto"/>
              <w:ind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parenteral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20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Planung von operativen Eingriffen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Lagerung, Desinfektion und Abdeckung bei chirurgischen Eingriffen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Durchführung 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von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Lokal- und Regionalanästhesie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50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Umgang 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mit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chirurgischen Instrumenten und Geräten, Naht-, Punktions- und Katheterisierungstechniken: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6"/>
              </w:numPr>
              <w:spacing w:after="0" w:line="240" w:lineRule="auto"/>
              <w:ind w:hanging="284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Legen von Drainagen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10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6"/>
              </w:numPr>
              <w:spacing w:after="0" w:line="240" w:lineRule="auto"/>
              <w:ind w:hanging="284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Legen von Kathetern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10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6"/>
              </w:numPr>
              <w:spacing w:after="0" w:line="240" w:lineRule="auto"/>
              <w:ind w:hanging="28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Legen von zentralvenösen Zugängen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10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Verbandtechnik inkl. Anlage von immobilisierenden Stützverbänden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Erkennen und Behandeln von perioperativen Infektionen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Wundmanagement, insbesondere bei chronischen Wunden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Peri- und postoperative Betreuung von Kindern und Jugendlichen im Rahmen der fachspezifischen Intensivmedizin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Indikationsstellung und Überwachung von physikalischen Therapien bzw. fachspezifische Rehabilitationsmaßnahmen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Endoskopien: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50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6"/>
              </w:numPr>
              <w:spacing w:after="0" w:line="240" w:lineRule="auto"/>
              <w:ind w:hanging="284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Gastroskopien, ggf. mit Fremdkörperentfernung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6"/>
              </w:numPr>
              <w:spacing w:after="0" w:line="240" w:lineRule="auto"/>
              <w:ind w:hanging="284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Koloskopien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6"/>
              </w:numPr>
              <w:spacing w:after="0" w:line="240" w:lineRule="auto"/>
              <w:ind w:hanging="284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Tracheobronchoskopien (ggf. mit Fremdkörperentfernung)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6"/>
              </w:numPr>
              <w:spacing w:after="0" w:line="240" w:lineRule="auto"/>
              <w:ind w:hanging="284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Urethrozystoskopien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Früh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-/Neugeborenenchirurgie:(1. Assistenzen und angeleitete Operationen 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15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6"/>
              </w:numPr>
              <w:spacing w:after="0" w:line="240" w:lineRule="auto"/>
              <w:ind w:hanging="284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Hernien, Hydrocelen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6"/>
              </w:numPr>
              <w:spacing w:after="0" w:line="240" w:lineRule="auto"/>
              <w:ind w:hanging="284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gastrointestinale Perforationen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6"/>
              </w:numPr>
              <w:spacing w:after="0" w:line="240" w:lineRule="auto"/>
              <w:ind w:hanging="284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Bauchdeckendefekte (z.B. Gastroschisis, Omphalozele)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Eingriffe an den Gefäßen: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5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operativer Gefäßzugang, zentraler Venenkatheter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Gefäßnaht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operative Laserungen/Verödungen/Unterbindungen (z. B. Varikozele)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Eingriffe im Kopf/Halsbereich: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20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lastRenderedPageBreak/>
              <w:t>Epidermoidzyste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Fehlbildungen/Fehlentwicklungen (z.B. Halszyste, Halsfistel, branchiogene Reste)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Tracheostomie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tumoröse Läsionen anderer Genese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Eingriffe im Thorax (ink1. Assistenzen und angeleitete Operationen)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10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Ösophagusatresie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Pleuradrainagen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Fehlbildungen der Thoraxwand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Fehlbildungen der Lunge und der Atemwege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tumoröse Läsionen (z.B. Neuroblastom, Ewing-Sarkom, etc.)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Lungenparenchymresektionen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Allfällig OP an den großen herznahen Gefäßen (z.B. Verschluss eines Ductus Botalli)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Eingriffe an der Bauchwand: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30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 xml:space="preserve">Korrektur äußerer Hernien: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1"/>
                <w:numId w:val="7"/>
              </w:numPr>
              <w:spacing w:after="0" w:line="240" w:lineRule="auto"/>
              <w:ind w:left="1134" w:hanging="337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epigastrische Hernien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1"/>
                <w:numId w:val="7"/>
              </w:numPr>
              <w:spacing w:after="0" w:line="240" w:lineRule="auto"/>
              <w:ind w:left="1134" w:hanging="337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Umbilikalhernien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1"/>
                <w:numId w:val="7"/>
              </w:numPr>
              <w:spacing w:after="0" w:line="240" w:lineRule="auto"/>
              <w:ind w:left="1134" w:hanging="337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Inguinalhernien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 xml:space="preserve">Hydrozelen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7"/>
              </w:numPr>
              <w:spacing w:after="0" w:line="240" w:lineRule="auto"/>
              <w:ind w:hanging="294"/>
              <w:rPr>
                <w:rFonts w:ascii="Times New Roman" w:hAnsi="Times New Roman" w:cs="Times New Roman"/>
                <w:snapToGrid w:val="0"/>
                <w:sz w:val="20"/>
                <w:lang w:val="de-DE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lang w:val="de-DE"/>
              </w:rPr>
              <w:t>Bauchdeckenplastik (Rektusdiastase)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Eingriffe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an abdominellen Organen: (1. Assistenzen und angeleitete Operationen) </w:t>
            </w:r>
          </w:p>
          <w:p w:rsidR="002270EB" w:rsidRPr="004879F6" w:rsidRDefault="002270EB" w:rsidP="00267BCC">
            <w:pPr>
              <w:spacing w:after="0" w:line="240" w:lineRule="auto"/>
              <w:ind w:left="360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 xml:space="preserve"> davon laparoskopisch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80</w:t>
            </w:r>
          </w:p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10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Magenausgangstenose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Zwerchfellmissbildung mit abdominalem Zugang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ind w:left="709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Operationen bei gastroösophagealem Reflux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Operationen an Milz, Pankreas, Leber und Gallenwegen (PE/CHE)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Anlage und Verschluss von Enterostomien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abdominelle/retroperitoneale Tumore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Darmanastomosen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Eingriffe am Anorektum (Fehlbildungen/Fistel/Prolaps/etc.)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Korrektur anorektaler Missbildungen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Appendektomien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25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Invaginationen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Eingriffe am Urogenitaltrakt: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40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Eingriffe am Hoden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ind w:left="709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Eingriffe an den Ovarien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Eingriffe am Penis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Eingriffe an der Niere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Eingriffe an Harnleiter/Blase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lastRenderedPageBreak/>
              <w:t>Korrektur von urogenitalen Fehlbildungen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urogenitale Tumorchirurgie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ind w:left="709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Allfällige Kinder- und Jugendtraumatologie: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25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Extremitäten-Trauma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Operative und konservative Frakturversorgung 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Sehnen-/Nervennaht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Chirurgische Behandlung einer Amputation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operative Frakturstabilisierung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Versorgung von Weichteiltrauma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Verbrennungsbehandlung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Weichteil und Organverletzungen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S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eptische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 xml:space="preserve"> Chirurgie: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15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Abszesse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Fistel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Sequester/Osteomyelitis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Phlegmone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ind w:left="360"/>
              <w:rPr>
                <w:rFonts w:ascii="Times New Roman" w:hAnsi="Times New Roman" w:cs="Times New Roman"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3"/>
              </w:numPr>
              <w:spacing w:after="0" w:line="240" w:lineRule="auto"/>
              <w:ind w:left="425" w:hanging="425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Plastisch</w:t>
            </w: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-rekonstruktive Eingriffe: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napToGrid w:val="0"/>
                <w:sz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</w:rPr>
              <w:t>10</w:t>
            </w: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Lappenplastiken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trike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chirurgische Narbenbehandlung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trike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Hand-/Fußfehlbildungen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trike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Ohranlegeplastiken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trike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Hautersatzverfahren, Hauttransplantation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trike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Resektionen von Hautveränderungen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trike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tumoröse Läsionen der Haut und Subkutis (Lymphangiom, Hämangiom, etc.)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trike/>
                <w:snapToGrid w:val="0"/>
                <w:sz w:val="20"/>
              </w:rPr>
            </w:pPr>
          </w:p>
        </w:tc>
      </w:tr>
      <w:tr w:rsidR="002270EB" w:rsidRPr="004879F6" w:rsidTr="00267BCC">
        <w:tc>
          <w:tcPr>
            <w:tcW w:w="8082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270EB">
            <w:pPr>
              <w:numPr>
                <w:ilvl w:val="0"/>
                <w:numId w:val="8"/>
              </w:numPr>
              <w:spacing w:after="0" w:line="240" w:lineRule="auto"/>
              <w:ind w:left="709" w:hanging="283"/>
              <w:rPr>
                <w:rFonts w:ascii="Times New Roman" w:hAnsi="Times New Roman" w:cs="Times New Roman"/>
                <w:snapToGrid w:val="0"/>
                <w:sz w:val="20"/>
                <w:szCs w:val="20"/>
              </w:rPr>
            </w:pPr>
            <w:r w:rsidRPr="004879F6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chirurgische Laserungen</w:t>
            </w:r>
          </w:p>
        </w:tc>
        <w:tc>
          <w:tcPr>
            <w:tcW w:w="1444" w:type="dxa"/>
            <w:shd w:val="clear" w:color="auto" w:fill="auto"/>
            <w:tcMar>
              <w:top w:w="57" w:type="dxa"/>
              <w:left w:w="284" w:type="dxa"/>
              <w:bottom w:w="57" w:type="dxa"/>
            </w:tcMar>
          </w:tcPr>
          <w:p w:rsidR="002270EB" w:rsidRPr="004879F6" w:rsidRDefault="002270EB" w:rsidP="00267BCC">
            <w:pPr>
              <w:spacing w:after="0"/>
              <w:rPr>
                <w:rFonts w:ascii="Times New Roman" w:hAnsi="Times New Roman" w:cs="Times New Roman"/>
                <w:strike/>
                <w:snapToGrid w:val="0"/>
                <w:sz w:val="20"/>
              </w:rPr>
            </w:pPr>
          </w:p>
        </w:tc>
      </w:tr>
    </w:tbl>
    <w:p w:rsidR="002270EB" w:rsidRPr="004879F6" w:rsidRDefault="002270EB" w:rsidP="002270EB">
      <w:pPr>
        <w:spacing w:after="0" w:line="240" w:lineRule="atLeast"/>
        <w:rPr>
          <w:rFonts w:ascii="Times New Roman" w:hAnsi="Times New Roman" w:cs="Times New Roman"/>
          <w:sz w:val="20"/>
          <w:szCs w:val="20"/>
        </w:rPr>
      </w:pPr>
    </w:p>
    <w:p w:rsidR="002270EB" w:rsidRDefault="002270EB" w:rsidP="002270EB">
      <w:pPr>
        <w:rPr>
          <w:rFonts w:ascii="Times New Roman" w:hAnsi="Times New Roman" w:cs="Times New Roman"/>
          <w:b/>
          <w:sz w:val="20"/>
        </w:rPr>
      </w:pPr>
    </w:p>
    <w:p w:rsidR="002270EB" w:rsidRDefault="002270EB" w:rsidP="002270EB">
      <w:pPr>
        <w:rPr>
          <w:rFonts w:ascii="Times New Roman" w:hAnsi="Times New Roman" w:cs="Times New Roman"/>
          <w:b/>
          <w:sz w:val="20"/>
        </w:rPr>
      </w:pPr>
    </w:p>
    <w:p w:rsidR="002270EB" w:rsidRPr="004879F6" w:rsidRDefault="002270EB" w:rsidP="002270EB">
      <w:pPr>
        <w:rPr>
          <w:rFonts w:ascii="Times New Roman" w:hAnsi="Times New Roman" w:cs="Times New Roman"/>
          <w:b/>
          <w:sz w:val="20"/>
        </w:rPr>
      </w:pPr>
    </w:p>
    <w:p w:rsidR="00F17FAD" w:rsidRDefault="00F17FAD"/>
    <w:sectPr w:rsidR="00F17FAD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0EB" w:rsidRDefault="002270EB" w:rsidP="002270EB">
      <w:pPr>
        <w:spacing w:after="0" w:line="240" w:lineRule="auto"/>
      </w:pPr>
      <w:r>
        <w:separator/>
      </w:r>
    </w:p>
  </w:endnote>
  <w:endnote w:type="continuationSeparator" w:id="0">
    <w:p w:rsidR="002270EB" w:rsidRDefault="002270EB" w:rsidP="00227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0EB" w:rsidRPr="002270EB" w:rsidRDefault="009D74B1">
    <w:pPr>
      <w:pStyle w:val="Fuzeile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ÄAO 2015, 3. Nov. </w:t>
    </w:r>
    <w:r w:rsidR="002270EB" w:rsidRPr="002270EB">
      <w:rPr>
        <w:rFonts w:ascii="Times New Roman" w:hAnsi="Times New Roman" w:cs="Times New Roman"/>
        <w:sz w:val="18"/>
        <w:szCs w:val="18"/>
      </w:rPr>
      <w:t>KEF u RZ</w:t>
    </w:r>
    <w:r>
      <w:rPr>
        <w:rFonts w:ascii="Times New Roman" w:hAnsi="Times New Roman" w:cs="Times New Roman"/>
        <w:sz w:val="18"/>
        <w:szCs w:val="18"/>
      </w:rPr>
      <w:t>-</w:t>
    </w:r>
    <w:r w:rsidR="002270EB" w:rsidRPr="002270EB">
      <w:rPr>
        <w:rFonts w:ascii="Times New Roman" w:hAnsi="Times New Roman" w:cs="Times New Roman"/>
        <w:sz w:val="18"/>
        <w:szCs w:val="18"/>
      </w:rPr>
      <w:t xml:space="preserve">V 2015, </w:t>
    </w:r>
    <w:r>
      <w:rPr>
        <w:rFonts w:ascii="Times New Roman" w:hAnsi="Times New Roman" w:cs="Times New Roman"/>
        <w:sz w:val="18"/>
        <w:szCs w:val="18"/>
      </w:rPr>
      <w:t>Version 1.</w:t>
    </w:r>
    <w:r w:rsidR="00155343">
      <w:rPr>
        <w:rFonts w:ascii="Times New Roman" w:hAnsi="Times New Roman" w:cs="Times New Roman"/>
        <w:sz w:val="18"/>
        <w:szCs w:val="18"/>
      </w:rPr>
      <w:t>3</w:t>
    </w:r>
    <w:r>
      <w:rPr>
        <w:rFonts w:ascii="Times New Roman" w:hAnsi="Times New Roman" w:cs="Times New Roman"/>
        <w:sz w:val="18"/>
        <w:szCs w:val="18"/>
      </w:rPr>
      <w:t xml:space="preserve">. für </w:t>
    </w:r>
    <w:r w:rsidR="002270EB" w:rsidRPr="002270EB">
      <w:rPr>
        <w:rFonts w:ascii="Times New Roman" w:hAnsi="Times New Roman" w:cs="Times New Roman"/>
        <w:sz w:val="18"/>
        <w:szCs w:val="18"/>
      </w:rPr>
      <w:t xml:space="preserve">Ausbildungsbeginn </w:t>
    </w:r>
    <w:r>
      <w:rPr>
        <w:rFonts w:ascii="Times New Roman" w:hAnsi="Times New Roman" w:cs="Times New Roman"/>
        <w:sz w:val="18"/>
        <w:szCs w:val="18"/>
      </w:rPr>
      <w:t xml:space="preserve">ab </w:t>
    </w:r>
    <w:r w:rsidR="002270EB" w:rsidRPr="002270EB">
      <w:rPr>
        <w:rFonts w:ascii="Times New Roman" w:hAnsi="Times New Roman" w:cs="Times New Roman"/>
        <w:sz w:val="18"/>
        <w:szCs w:val="18"/>
      </w:rPr>
      <w:t>01.01.2020</w:t>
    </w:r>
    <w:r w:rsidR="002270EB" w:rsidRPr="002270EB">
      <w:rPr>
        <w:rFonts w:ascii="Times New Roman" w:hAnsi="Times New Roman" w:cs="Times New Roman"/>
        <w:sz w:val="18"/>
        <w:szCs w:val="18"/>
      </w:rPr>
      <w:tab/>
    </w:r>
    <w:r w:rsidR="002270EB" w:rsidRPr="002270EB">
      <w:rPr>
        <w:rFonts w:ascii="Times New Roman" w:hAnsi="Times New Roman" w:cs="Times New Roman"/>
        <w:sz w:val="18"/>
        <w:szCs w:val="18"/>
        <w:lang w:val="de-DE"/>
      </w:rPr>
      <w:t xml:space="preserve">Seite </w:t>
    </w:r>
    <w:r w:rsidR="002270EB" w:rsidRPr="002270EB">
      <w:rPr>
        <w:rFonts w:ascii="Times New Roman" w:hAnsi="Times New Roman" w:cs="Times New Roman"/>
        <w:bCs/>
        <w:sz w:val="18"/>
        <w:szCs w:val="18"/>
      </w:rPr>
      <w:fldChar w:fldCharType="begin"/>
    </w:r>
    <w:r w:rsidR="002270EB" w:rsidRPr="002270EB">
      <w:rPr>
        <w:rFonts w:ascii="Times New Roman" w:hAnsi="Times New Roman" w:cs="Times New Roman"/>
        <w:bCs/>
        <w:sz w:val="18"/>
        <w:szCs w:val="18"/>
      </w:rPr>
      <w:instrText>PAGE  \* Arabic  \* MERGEFORMAT</w:instrText>
    </w:r>
    <w:r w:rsidR="002270EB" w:rsidRPr="002270EB">
      <w:rPr>
        <w:rFonts w:ascii="Times New Roman" w:hAnsi="Times New Roman" w:cs="Times New Roman"/>
        <w:bCs/>
        <w:sz w:val="18"/>
        <w:szCs w:val="18"/>
      </w:rPr>
      <w:fldChar w:fldCharType="separate"/>
    </w:r>
    <w:r w:rsidR="00155343" w:rsidRPr="00155343">
      <w:rPr>
        <w:rFonts w:ascii="Times New Roman" w:hAnsi="Times New Roman" w:cs="Times New Roman"/>
        <w:bCs/>
        <w:noProof/>
        <w:sz w:val="18"/>
        <w:szCs w:val="18"/>
        <w:lang w:val="de-DE"/>
      </w:rPr>
      <w:t>1</w:t>
    </w:r>
    <w:r w:rsidR="002270EB" w:rsidRPr="002270EB">
      <w:rPr>
        <w:rFonts w:ascii="Times New Roman" w:hAnsi="Times New Roman" w:cs="Times New Roman"/>
        <w:bCs/>
        <w:sz w:val="18"/>
        <w:szCs w:val="18"/>
      </w:rPr>
      <w:fldChar w:fldCharType="end"/>
    </w:r>
    <w:r w:rsidR="002270EB" w:rsidRPr="002270EB">
      <w:rPr>
        <w:rFonts w:ascii="Times New Roman" w:hAnsi="Times New Roman" w:cs="Times New Roman"/>
        <w:sz w:val="18"/>
        <w:szCs w:val="18"/>
        <w:lang w:val="de-DE"/>
      </w:rPr>
      <w:t xml:space="preserve"> von </w:t>
    </w:r>
    <w:r w:rsidR="002270EB" w:rsidRPr="002270EB">
      <w:rPr>
        <w:rFonts w:ascii="Times New Roman" w:hAnsi="Times New Roman" w:cs="Times New Roman"/>
        <w:bCs/>
        <w:sz w:val="18"/>
        <w:szCs w:val="18"/>
      </w:rPr>
      <w:fldChar w:fldCharType="begin"/>
    </w:r>
    <w:r w:rsidR="002270EB" w:rsidRPr="002270EB">
      <w:rPr>
        <w:rFonts w:ascii="Times New Roman" w:hAnsi="Times New Roman" w:cs="Times New Roman"/>
        <w:bCs/>
        <w:sz w:val="18"/>
        <w:szCs w:val="18"/>
      </w:rPr>
      <w:instrText>NUMPAGES  \* Arabic  \* MERGEFORMAT</w:instrText>
    </w:r>
    <w:r w:rsidR="002270EB" w:rsidRPr="002270EB">
      <w:rPr>
        <w:rFonts w:ascii="Times New Roman" w:hAnsi="Times New Roman" w:cs="Times New Roman"/>
        <w:bCs/>
        <w:sz w:val="18"/>
        <w:szCs w:val="18"/>
      </w:rPr>
      <w:fldChar w:fldCharType="separate"/>
    </w:r>
    <w:r w:rsidR="00155343" w:rsidRPr="00155343">
      <w:rPr>
        <w:rFonts w:ascii="Times New Roman" w:hAnsi="Times New Roman" w:cs="Times New Roman"/>
        <w:bCs/>
        <w:noProof/>
        <w:sz w:val="18"/>
        <w:szCs w:val="18"/>
        <w:lang w:val="de-DE"/>
      </w:rPr>
      <w:t>6</w:t>
    </w:r>
    <w:r w:rsidR="002270EB" w:rsidRPr="002270EB">
      <w:rPr>
        <w:rFonts w:ascii="Times New Roman" w:hAnsi="Times New Roman" w:cs="Times New Roman"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0EB" w:rsidRDefault="002270EB" w:rsidP="002270EB">
      <w:pPr>
        <w:spacing w:after="0" w:line="240" w:lineRule="auto"/>
      </w:pPr>
      <w:r>
        <w:separator/>
      </w:r>
    </w:p>
  </w:footnote>
  <w:footnote w:type="continuationSeparator" w:id="0">
    <w:p w:rsidR="002270EB" w:rsidRDefault="002270EB" w:rsidP="002270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82FBB"/>
    <w:multiLevelType w:val="hybridMultilevel"/>
    <w:tmpl w:val="4BD8F71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D5F90"/>
    <w:multiLevelType w:val="hybridMultilevel"/>
    <w:tmpl w:val="D646C892"/>
    <w:lvl w:ilvl="0" w:tplc="1A1AD6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952271"/>
    <w:multiLevelType w:val="hybridMultilevel"/>
    <w:tmpl w:val="6B68D4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29196D"/>
    <w:multiLevelType w:val="hybridMultilevel"/>
    <w:tmpl w:val="5E740496"/>
    <w:lvl w:ilvl="0" w:tplc="134249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A3AEA"/>
    <w:multiLevelType w:val="hybridMultilevel"/>
    <w:tmpl w:val="004253D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A01D0B"/>
    <w:multiLevelType w:val="hybridMultilevel"/>
    <w:tmpl w:val="CD942DDA"/>
    <w:lvl w:ilvl="0" w:tplc="277E83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4C6E62"/>
    <w:multiLevelType w:val="hybridMultilevel"/>
    <w:tmpl w:val="EFDC564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6D7DF7"/>
    <w:multiLevelType w:val="hybridMultilevel"/>
    <w:tmpl w:val="6102F916"/>
    <w:lvl w:ilvl="0" w:tplc="1754674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AC250C"/>
    <w:multiLevelType w:val="hybridMultilevel"/>
    <w:tmpl w:val="CDA49334"/>
    <w:lvl w:ilvl="0" w:tplc="0C07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6065455D"/>
    <w:multiLevelType w:val="hybridMultilevel"/>
    <w:tmpl w:val="9840634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D4098"/>
    <w:multiLevelType w:val="hybridMultilevel"/>
    <w:tmpl w:val="A1E69208"/>
    <w:lvl w:ilvl="0" w:tplc="42AC23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1"/>
  </w:num>
  <w:num w:numId="5">
    <w:abstractNumId w:val="7"/>
  </w:num>
  <w:num w:numId="6">
    <w:abstractNumId w:val="4"/>
  </w:num>
  <w:num w:numId="7">
    <w:abstractNumId w:val="2"/>
  </w:num>
  <w:num w:numId="8">
    <w:abstractNumId w:val="8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0EB"/>
    <w:rsid w:val="00155343"/>
    <w:rsid w:val="002270EB"/>
    <w:rsid w:val="009D74B1"/>
    <w:rsid w:val="00F1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8C39B"/>
  <w15:chartTrackingRefBased/>
  <w15:docId w15:val="{48E352CF-A3FC-4E99-BD66-11142E35D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270EB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27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270EB"/>
  </w:style>
  <w:style w:type="paragraph" w:styleId="Fuzeile">
    <w:name w:val="footer"/>
    <w:basedOn w:val="Standard"/>
    <w:link w:val="FuzeileZchn"/>
    <w:uiPriority w:val="99"/>
    <w:unhideWhenUsed/>
    <w:rsid w:val="002270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270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1419</Words>
  <Characters>8945</Characters>
  <Application>Microsoft Office Word</Application>
  <DocSecurity>0</DocSecurity>
  <Lines>74</Lines>
  <Paragraphs>20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Maierhofer Sabine</dc:creator>
  <cp:keywords/>
  <dc:description/>
  <cp:lastModifiedBy>Maierhofer Sabine</cp:lastModifiedBy>
  <cp:revision>3</cp:revision>
  <dcterms:created xsi:type="dcterms:W3CDTF">2020-01-20T14:55:00Z</dcterms:created>
  <dcterms:modified xsi:type="dcterms:W3CDTF">2020-03-30T09:44:00Z</dcterms:modified>
</cp:coreProperties>
</file>