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8DB" w:rsidRPr="004879F6" w:rsidRDefault="00AD38DB" w:rsidP="00AD38DB">
      <w:pPr>
        <w:spacing w:after="0" w:line="200" w:lineRule="exact"/>
        <w:jc w:val="right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Anlage 12.4</w:t>
      </w:r>
    </w:p>
    <w:p w:rsidR="00AD38DB" w:rsidRPr="004879F6" w:rsidRDefault="00AD38DB" w:rsidP="00AD38D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Ausbildungsinhalte</w:t>
      </w:r>
    </w:p>
    <w:p w:rsidR="00AD38DB" w:rsidRPr="004879F6" w:rsidRDefault="00AD38DB" w:rsidP="00AD38DB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zum Sonderfach Innere Medizin und Gastroenterologie und Hepatologie</w:t>
      </w:r>
    </w:p>
    <w:p w:rsidR="00AD38DB" w:rsidRPr="004879F6" w:rsidRDefault="00AD38DB" w:rsidP="00AD38DB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p w:rsidR="00AD38DB" w:rsidRPr="004879F6" w:rsidRDefault="00AD38DB" w:rsidP="00AD38D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t>Sonderfach Grundausbildung (27 Monate)</w:t>
      </w:r>
    </w:p>
    <w:p w:rsidR="00AD38DB" w:rsidRPr="004879F6" w:rsidRDefault="00AD38DB" w:rsidP="00AD38DB">
      <w:pPr>
        <w:spacing w:after="0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26"/>
      </w:tblGrid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Psychosoziale, umweltbedingte, arbeitsbedingte und interkulturelle Risiken und Erkrankungen der Inneren Medizin und aller internistischen Teilgebiete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Immunologie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Humangenetik 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Nuklearmedizin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Strahlenschutz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Transplantationsnachsorge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Densitometrie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Interventionelle Techniken und Angiographien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Psychosomatische Medizin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Gesundheitsberatung, Prävention, Vorsorgemedizin, Impfwesen und gesundheitliche Aufklärung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Labortechnisch gestützte Nachweisverfahren mit visueller oder apparativer Auswertung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Psychogene Symptome, somatopsychische Reaktionen und psychosoziale Zusammenhänge einschließlich der Krisenintervention sowie der Grundzüge der Beratung und Führung Suchtkranker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Dokumentation und Arzthaftung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Maßnahmen zur Patientinnen- und Patientensicherheit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Betreuung von Menschen mit besonderen Bedürfnissen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Palliativmedizin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Geriatrie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Gesundheitsökonomische Auswirkungen ärztlichen Handelns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Ethik ärztlichen Handelns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Schmerztherapie</w:t>
            </w:r>
          </w:p>
        </w:tc>
      </w:tr>
    </w:tbl>
    <w:p w:rsidR="00AD38DB" w:rsidRDefault="00AD38DB" w:rsidP="00AD38DB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:rsidR="00AD38DB" w:rsidRDefault="00AD38DB">
      <w:pP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  <w:bookmarkStart w:id="0" w:name="_GoBack"/>
      <w:bookmarkEnd w:id="0"/>
    </w:p>
    <w:p w:rsidR="00AD38DB" w:rsidRPr="004879F6" w:rsidRDefault="00AD38DB" w:rsidP="00AD38DB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26"/>
      </w:tblGrid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Erfahrungen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Innere Medizin mit besonderer Berücksichtigung von Ätiologie, Symptomatologie,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Anamneseerhebung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und Exploration, Diagnostik und Differenzialdiagnostik innerer Erkrankungen sowie Anatomie, Physiologie, Pathologie,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Pathophysiologie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, Pharmakologie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Grundlegenden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Erfahrungen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in den Kernfächern: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Angiologie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Endokrinologie, Diabetologie und Stoffwechselerkrankungen inkl. Durchführung und Dokumentation von Diabetikerinnen-und Diabetikerbehandlungen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Gastroenterologie und Hepatologie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Hämatologie – internistische Onkologie 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Infektiologie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Intensivmedizin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Kardiologie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Nephrologie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Pneumologie</w:t>
            </w:r>
          </w:p>
          <w:p w:rsidR="00AD38DB" w:rsidRPr="004879F6" w:rsidRDefault="00AD38DB" w:rsidP="00AD38DB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Rheumatologie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Klinische Pharmakologie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Geriatrie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Palliativmedizin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psychosomatische Medizin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Internistisch präoperative Beurteilung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hereditärer Krankheitsbilder einschließlich der Indikationsstellung für eine humangenetische Beratung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Suchterkrankungen und deren interdisziplinäre Betreuung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Gesundheitsberatung, Prävention, fachspezifische Vorsorgemedizin, Impfwesen und gesundheitliche Aufklärung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Ernährungsbedingte Gesundheitsstörungen einschließlich diätetischer Beratung sowie Beratung und Schulung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Erkennung und Behandlung akuter Notfälle einschließlich lebensrettender Maßnahmen zur Aufrechterhaltung von Vitalfunktionen und Wiederbelebung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Qualitätssicherung und Dokumentation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Zusammenarbeit bei multimorbiden Patientinnen und Patienten mit inneren Erkrankungen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Radiologinnen und Radiologen und Nuklearmedizinerinnen und Nuklearmedizinern erhobenen Bilder und Befunde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Indikationsstellung zu chirurgischen, strahlentherapeutischen und nuklearmedizinischen Maßnahmen</w:t>
            </w:r>
          </w:p>
        </w:tc>
      </w:tr>
    </w:tbl>
    <w:p w:rsidR="00AD38DB" w:rsidRDefault="00AD38DB" w:rsidP="00AD38DB">
      <w:pPr>
        <w:spacing w:after="0" w:line="240" w:lineRule="auto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:rsidR="00AD38DB" w:rsidRDefault="00AD38DB">
      <w:pPr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</w:p>
    <w:p w:rsidR="00AD38DB" w:rsidRPr="004879F6" w:rsidRDefault="00AD38DB" w:rsidP="00AD38DB">
      <w:pPr>
        <w:spacing w:after="0" w:line="240" w:lineRule="auto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07"/>
        <w:gridCol w:w="1419"/>
      </w:tblGrid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Behandlung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Patientinnen und Patienten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mit internistischen Erkrankungen mit besonderer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Berücksichtigung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von Ätiologie, Symptomatologie, Anamneseerhebung und Exploration, Diagnostik und Differenzialdiagnostik innerer Erkrankungen sowie von Anatomie, Physiologie, Pathologie, Pathophysiologie, Pharmakologie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4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Grundlegenden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Fertigkeiten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 in den Kernfächern: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Angiologie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Endokrinologie, Diabetologie und Stoffwechselerkrankungen, inkl. Durchführung und Dokumentation von Diabetikerinnen- und Diabetikerbehandlungen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Gastroenterologie und Hepatologie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Hämatologie – internistische Onkologie 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Infektiologie 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Intensivmedizin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Kardiologie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Nephrologie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Pneumologie</w:t>
            </w:r>
          </w:p>
          <w:p w:rsidR="00AD38DB" w:rsidRPr="004879F6" w:rsidRDefault="00AD38DB" w:rsidP="00AD38DB">
            <w:pPr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Rheumatologie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Klinische Pharmakologie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Geriatrie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Palliativmedizin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psychosomatische Medizin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Schmerztherapie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Laboruntersuchungen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Internistisch präoperative Beurteilung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Indikationsstellung, sachgerechte Probengewinnung und -behandlung für Laboruntersuchungen und Einordnung der Ergebnisse in das jeweilige Krankheitsgebiet, Durchführung von fachspezifischen Funktionstests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Gesundheitsberatung, Prävention, fachspezifische Vorsorgemedizin, Impfwesen und gesundheitliche Aufklärung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Erkennung und Behandlung akuter Notfälle einschließlich lebensrettender Maßnahmen zur Aufrechterhaltung von Vitalfunktionen und Wiederbelebung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Zusammenarbeit bei multimorbiden Patientinnen und Patienten mit inneren Erkrankungen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val="de-DE" w:eastAsia="de-DE"/>
              </w:rPr>
              <w:t xml:space="preserve">Indikation zur Durchführung bilddiagnostischer Verfahren sowie fachspezifische Interpretation der von </w:t>
            </w: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Radiologinnen und Radiologen und Nuklearmedizinerinnen und Nuklearmedizinern erhobenen Bilder und Befunde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Interdisziplinäre Indikationsstellung zu chirurgischen, strahlentherapeutischen und nuklearmedizinischen Maßnahmen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EKG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150</w:t>
            </w: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LZ-RR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Abdomensonographie einschließlich Nieren-Retroperitoneum und Urogenitalorgane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150</w:t>
            </w: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Therapie vital bedrohlicher Zustände, Aufrechterhaltung und Wiederherstellung inkl. Notfall und Intensivmedizin, Beatmung, Entwöhnung, nicht-invasive Beatmungstechniken, hämodynamisches Monitoring, Schockbehandlung, zentrale Zugänge, Defibrillation, PM-Behandlung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Echokardiographie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Spirometrie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Ergometrie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20</w:t>
            </w: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Infusions-, Transfusions- und Blutersatztherapie, enterale und parenterale Ernährung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AD38DB" w:rsidRPr="004879F6" w:rsidTr="00AF5AEF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eastAsia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Durchführung von Punktionen oder Stanzen von z.B. Blase, Pleura, Bauchhöhle, Liquor, Leber oder Knochenmark 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</w:tbl>
    <w:p w:rsidR="00AD38DB" w:rsidRPr="004879F6" w:rsidRDefault="00AD38DB" w:rsidP="00AD38DB">
      <w:pPr>
        <w:spacing w:after="0" w:line="320" w:lineRule="atLeast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  <w:r w:rsidRPr="004879F6">
        <w:rPr>
          <w:rFonts w:ascii="Times New Roman" w:eastAsia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br w:type="page"/>
      </w:r>
      <w:r w:rsidRPr="004879F6"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  <w:lastRenderedPageBreak/>
        <w:t>Sonderfach Schwerpunktausbildung (36 Monate)</w:t>
      </w:r>
    </w:p>
    <w:p w:rsidR="00AD38DB" w:rsidRPr="004879F6" w:rsidRDefault="00AD38DB" w:rsidP="00AD38DB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26"/>
      </w:tblGrid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Kenntnisse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Ätiologie, Pathogenese, Pathophysiologie und Symptomatologie gastroenterologischer und hepatologischer Erkrankungen sowie Diagnostik, Prognose und Therapie gastroenterologischer und hepatologischer Erkrankungen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Funktionsdiagnostische Untersuchungen der Verdauungsorgane einschließlich Atemtests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prognostische Beurteilung von operativen Behandlungen im Bereich des Verdauungstrakts, seiner Anhangsdrüsen sowie der Therapie postoperativer Zustände inkl. Lebertransplantation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Interpretation genetischer Befunde und genetischer Beratung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prognostische Beurteilung einer Strahlentherapie bei malignen Erkrankungen des Gastrointestinaltrakts und seiner Anhangsdrüsen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Diätetik und ihre Anwendung bei Erkrankungen des Verdauungstrakts inkl. Einführung von Ernährungssonden und i.v. Ernährungstherapie</w:t>
            </w:r>
          </w:p>
        </w:tc>
      </w:tr>
      <w:tr w:rsidR="00AD38DB" w:rsidRPr="004879F6" w:rsidTr="00AF5AEF">
        <w:trPr>
          <w:trHeight w:val="776"/>
        </w:trPr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Interventionelle Radiologie des Verdauungstrakts einschließlich radiologisch gezielter Biopsietechniken, Drainage, Dilatationsverfahren sowie fachspezifische Interpretation von röntgen- und nuklearmedizinischen Befunden</w:t>
            </w:r>
          </w:p>
        </w:tc>
      </w:tr>
      <w:tr w:rsidR="00AD38DB" w:rsidRPr="004879F6" w:rsidTr="00AF5AEF">
        <w:trPr>
          <w:trHeight w:val="323"/>
        </w:trPr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Grundlagen des Strahlenschutzes</w:t>
            </w:r>
          </w:p>
        </w:tc>
      </w:tr>
      <w:tr w:rsidR="00AD38DB" w:rsidRPr="004879F6" w:rsidTr="00AF5AEF">
        <w:trPr>
          <w:trHeight w:val="344"/>
        </w:trPr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psychosomatischer Erkrankungen mit Manifestation am Gastrointestinaltrakt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Diagnostik und Therapie proktologischer Erkrankungen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6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Systemische und lokale Chemotherapien bei malignen Erkrankungen des Verdauungstrakts und seiner Anhangsdrüsen, Teilnahme an Tumorboards</w:t>
            </w:r>
          </w:p>
        </w:tc>
      </w:tr>
    </w:tbl>
    <w:p w:rsidR="00AD38DB" w:rsidRPr="004879F6" w:rsidRDefault="00AD38DB" w:rsidP="00AD38DB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526"/>
      </w:tblGrid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 xml:space="preserve">Erfahrungen 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Diagnostik und Therapie spezifischer gastroenterologischer und hepatologischer Erkrankungen, insbesondere: 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von Ösophaguserkrankungen 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von Magen- und Zwölffingerdarmerkrankungen 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von Dünndarmerkrankungen 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von Pankreaserkrankungen 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chronisch entzündlichen Darmerkrankungen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angeborenen, metabolischen, immunologischen, chronischen und akuten Lebererkrankungen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von Hepatitiden 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Indikationen für Lebertransplantation und Management nach Lebertransplantation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gastrointestinaler und hepataler Infektionskrankheiten 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gastrointestinalen Tumoren, Pankreastumoren, Lebertumoren und neu</w:t>
            </w:r>
            <w:r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roendokrinen Tumoren in </w:t>
            </w: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interdisziplinärer Kooperation 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Differenzialdiagnostik und Therapie von Durchfallerkrankungen </w:t>
            </w:r>
          </w:p>
          <w:p w:rsidR="00AD38DB" w:rsidRPr="004879F6" w:rsidRDefault="00AD38DB" w:rsidP="00AD38DB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funktionellen gastrointestinalen Erkrankungen</w:t>
            </w:r>
          </w:p>
        </w:tc>
      </w:tr>
      <w:tr w:rsidR="00AD38DB" w:rsidRPr="004879F6" w:rsidTr="00AF5AEF">
        <w:trPr>
          <w:trHeight w:val="239"/>
        </w:trPr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Beurteilung der Endosonographie</w:t>
            </w:r>
          </w:p>
        </w:tc>
      </w:tr>
      <w:tr w:rsidR="00AD38DB" w:rsidRPr="004879F6" w:rsidTr="00AF5AEF">
        <w:trPr>
          <w:trHeight w:val="289"/>
        </w:trPr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 und Beurteilung der Kapselendoskopie</w:t>
            </w:r>
          </w:p>
        </w:tc>
      </w:tr>
      <w:tr w:rsidR="00AD38DB" w:rsidRPr="004879F6" w:rsidTr="00AF5AEF">
        <w:tc>
          <w:tcPr>
            <w:tcW w:w="9526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Fachspezifische Interpretation histologischer und zytopathologischer Befunde im Bereich der Gastroenterologie und Hepatologie</w:t>
            </w:r>
          </w:p>
        </w:tc>
      </w:tr>
    </w:tbl>
    <w:p w:rsidR="00AD38DB" w:rsidRDefault="00AD38DB" w:rsidP="00AD38DB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:rsidR="00AD38DB" w:rsidRPr="004879F6" w:rsidRDefault="00AD38DB" w:rsidP="00AD38DB">
      <w:p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</w:pPr>
      <w:r>
        <w:rPr>
          <w:rFonts w:ascii="Times New Roman" w:eastAsia="Times New Roman" w:hAnsi="Times New Roman" w:cs="Times New Roman"/>
          <w:snapToGrid w:val="0"/>
          <w:color w:val="000000"/>
          <w:sz w:val="20"/>
          <w:szCs w:val="20"/>
          <w:lang w:eastAsia="de-DE"/>
        </w:rPr>
        <w:br w:type="page"/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07"/>
        <w:gridCol w:w="1419"/>
      </w:tblGrid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F5AEF">
            <w:pPr>
              <w:tabs>
                <w:tab w:val="left" w:pos="425"/>
              </w:tabs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ab/>
              <w:t>Fertigkeiten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color w:val="000000"/>
                <w:sz w:val="20"/>
                <w:szCs w:val="20"/>
                <w:lang w:eastAsia="de-DE"/>
              </w:rPr>
              <w:t>Richtzahl</w:t>
            </w: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Teilnahme an Tumorboards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Diagnostik und Therapie spezifischer gastroenterologischer und hepatologischer Erkrankungen, insbesondere: 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Ösophaguserkrankungen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von Magen- und Zwölffingerdarmerkrankungen 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von Dünndarmerkrankungen 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Pankreaserkrankungen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chronisch entzündlichen Darmerkrankungen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angeborenen, metabolischen, immunologischen, chronischen und akuten Lebererkrankungen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Therapien von Hepatitiden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Indikationen für Lebertransplantation und Management nach Lebertransplantation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von gastrointestinaler und hepataler Infektionskrankheiten 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gastrointestinalen Tumoren, Pankreastumoren, Lebertumoren und neuroendokrinen Tumoren in interdisziplinärer Kooperation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Differenzialdiagnostik und Therapie von Durchfallerkrankungen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2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von funktionellen gastrointestinalen Erkrankungen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Management von Antikoagulation prä- und postendoskopischer Eingriffe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Diagnostische und therapeutische gastrointestinale Endoskopie: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Ösophagogastroduodenoskopie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300</w:t>
            </w: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hohe Koloskopie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300</w:t>
            </w: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Schlingenpolypektomie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50</w:t>
            </w: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endoskopische Therapie von Blutungen aus dem Gastrointestinaltrakt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PEG-Sonden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5</w:t>
            </w:r>
          </w:p>
        </w:tc>
      </w:tr>
      <w:tr w:rsidR="00AD38DB" w:rsidRPr="004879F6" w:rsidTr="00CF0F54">
        <w:tc>
          <w:tcPr>
            <w:tcW w:w="8107" w:type="dxa"/>
            <w:tcBorders>
              <w:bottom w:val="single" w:sz="4" w:space="0" w:color="auto"/>
            </w:tcBorders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von Sedoanalgesie bei endoskopischen und minimal-invasiven Eingriffen an Gastrointestinaltrakt und Leber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tcBorders>
              <w:bottom w:val="single" w:sz="4" w:space="0" w:color="auto"/>
            </w:tcBorders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Spezielle diagnostische und therapeutisch endoskopische Verfahren: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allfällig ERCP, Papillotomie, Dilatationsverfahren, Steinextraktion und Legen von Kunststoffendoprothesen bzw. von selbstexpandierbaren Metallprothesen im pankreatobiliären System sowie im Bereich des Gastrointestinaltrakts 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allfällig Manometrie, pH-Metrie 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</w:t>
            </w:r>
          </w:p>
        </w:tc>
      </w:tr>
      <w:tr w:rsidR="00AD38DB" w:rsidRPr="004879F6" w:rsidTr="00CF0F54">
        <w:tc>
          <w:tcPr>
            <w:tcW w:w="8107" w:type="dxa"/>
            <w:tcBorders>
              <w:bottom w:val="single" w:sz="4" w:space="0" w:color="auto"/>
            </w:tcBorders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allfällig gastroenterologische Endosonographie inkl. gastroenterologische Endosonographie gesteuerte Verfahren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tcBorders>
              <w:bottom w:val="single" w:sz="4" w:space="0" w:color="auto"/>
            </w:tcBorders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Fachspezifische Sonographie: 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 xml:space="preserve">diagnostische Sonographie des Abdomens 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350</w:t>
            </w: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13"/>
              </w:numPr>
              <w:spacing w:after="0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diagnostische und therapeutische Punktionen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30</w:t>
            </w: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Durchführung von Früherkennungs- und Nachsorgemaßnahmen zur Tumor- und Rezidiverkennung im Verdauungstrakt und bei seinen Anhangsdrüsen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</w:tbl>
    <w:p w:rsidR="00CF0F54" w:rsidRDefault="00CF0F54"/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8107"/>
        <w:gridCol w:w="1419"/>
      </w:tblGrid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lastRenderedPageBreak/>
              <w:t>Allfällige fachspezifische zytostatische, immunmodulatorische, supportive und palliative Behandlungszyklen und nachfolgende Überwachung und Beherrschung der Komplikationen nach interdisziplinärer Indikationsstellung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100</w:t>
            </w: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Intestinale Intubationstechniken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</w:p>
        </w:tc>
      </w:tr>
      <w:tr w:rsidR="00AD38DB" w:rsidRPr="004879F6" w:rsidTr="00CF0F54">
        <w:tc>
          <w:tcPr>
            <w:tcW w:w="8107" w:type="dxa"/>
            <w:shd w:val="clear" w:color="auto" w:fill="auto"/>
          </w:tcPr>
          <w:p w:rsidR="00AD38DB" w:rsidRPr="004879F6" w:rsidRDefault="00AD38DB" w:rsidP="00AD38D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Analgosedierung</w:t>
            </w:r>
          </w:p>
        </w:tc>
        <w:tc>
          <w:tcPr>
            <w:tcW w:w="1419" w:type="dxa"/>
            <w:shd w:val="clear" w:color="auto" w:fill="auto"/>
          </w:tcPr>
          <w:p w:rsidR="00AD38DB" w:rsidRPr="004879F6" w:rsidRDefault="00AD38DB" w:rsidP="00AF5AE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color w:val="000000"/>
                <w:sz w:val="20"/>
                <w:szCs w:val="20"/>
                <w:lang w:eastAsia="de-DE"/>
              </w:rPr>
              <w:t>100</w:t>
            </w:r>
          </w:p>
        </w:tc>
      </w:tr>
    </w:tbl>
    <w:p w:rsidR="00AD38DB" w:rsidRPr="004879F6" w:rsidRDefault="00AD38DB" w:rsidP="00AD38DB">
      <w:pPr>
        <w:spacing w:after="0" w:line="240" w:lineRule="auto"/>
        <w:ind w:left="360"/>
        <w:rPr>
          <w:rFonts w:ascii="Times New Roman" w:hAnsi="Times New Roman" w:cs="Times New Roman"/>
          <w:snapToGrid w:val="0"/>
          <w:color w:val="000000"/>
          <w:sz w:val="20"/>
          <w:szCs w:val="20"/>
          <w:lang w:eastAsia="de-DE"/>
        </w:rPr>
      </w:pPr>
    </w:p>
    <w:p w:rsidR="0091326B" w:rsidRDefault="0091326B" w:rsidP="00AD38DB"/>
    <w:sectPr w:rsidR="0091326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8DB" w:rsidRDefault="00AD38DB" w:rsidP="00AD38DB">
      <w:pPr>
        <w:spacing w:after="0" w:line="240" w:lineRule="auto"/>
      </w:pPr>
      <w:r>
        <w:separator/>
      </w:r>
    </w:p>
  </w:endnote>
  <w:endnote w:type="continuationSeparator" w:id="0">
    <w:p w:rsidR="00AD38DB" w:rsidRDefault="00AD38DB" w:rsidP="00AD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8DB" w:rsidRPr="00AD38DB" w:rsidRDefault="00CF0F54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ÄAO 2015, 3. No</w:t>
    </w:r>
    <w:r w:rsidR="006455AC">
      <w:rPr>
        <w:rFonts w:ascii="Times New Roman" w:hAnsi="Times New Roman" w:cs="Times New Roman"/>
        <w:sz w:val="18"/>
        <w:szCs w:val="18"/>
      </w:rPr>
      <w:t>v. KEF u. RZ-V 2015, Version 1.</w:t>
    </w:r>
    <w:r w:rsidR="00845D85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>. für</w:t>
    </w:r>
    <w:r w:rsidR="00AD38DB" w:rsidRPr="00AD38DB">
      <w:rPr>
        <w:rFonts w:ascii="Times New Roman" w:hAnsi="Times New Roman" w:cs="Times New Roman"/>
        <w:sz w:val="18"/>
        <w:szCs w:val="18"/>
      </w:rPr>
      <w:t xml:space="preserve"> 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AD38DB" w:rsidRPr="00AD38DB">
      <w:rPr>
        <w:rFonts w:ascii="Times New Roman" w:hAnsi="Times New Roman" w:cs="Times New Roman"/>
        <w:sz w:val="18"/>
        <w:szCs w:val="18"/>
      </w:rPr>
      <w:t>01.01.2020</w:t>
    </w:r>
    <w:r w:rsidR="00AD38DB" w:rsidRPr="00AD38DB">
      <w:rPr>
        <w:rFonts w:ascii="Times New Roman" w:hAnsi="Times New Roman" w:cs="Times New Roman"/>
        <w:sz w:val="18"/>
        <w:szCs w:val="18"/>
      </w:rPr>
      <w:tab/>
    </w:r>
    <w:r w:rsidR="00AD38DB" w:rsidRPr="00AD38DB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AD38DB" w:rsidRPr="00AD38DB">
      <w:rPr>
        <w:rFonts w:ascii="Times New Roman" w:hAnsi="Times New Roman" w:cs="Times New Roman"/>
        <w:bCs/>
        <w:sz w:val="18"/>
        <w:szCs w:val="18"/>
      </w:rPr>
      <w:fldChar w:fldCharType="begin"/>
    </w:r>
    <w:r w:rsidR="00AD38DB" w:rsidRPr="00AD38DB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AD38DB" w:rsidRPr="00AD38DB">
      <w:rPr>
        <w:rFonts w:ascii="Times New Roman" w:hAnsi="Times New Roman" w:cs="Times New Roman"/>
        <w:bCs/>
        <w:sz w:val="18"/>
        <w:szCs w:val="18"/>
      </w:rPr>
      <w:fldChar w:fldCharType="separate"/>
    </w:r>
    <w:r w:rsidR="00845D85" w:rsidRPr="00845D85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AD38DB" w:rsidRPr="00AD38DB">
      <w:rPr>
        <w:rFonts w:ascii="Times New Roman" w:hAnsi="Times New Roman" w:cs="Times New Roman"/>
        <w:bCs/>
        <w:sz w:val="18"/>
        <w:szCs w:val="18"/>
      </w:rPr>
      <w:fldChar w:fldCharType="end"/>
    </w:r>
    <w:r w:rsidR="00AD38DB" w:rsidRPr="00AD38DB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AD38DB" w:rsidRPr="00AD38DB">
      <w:rPr>
        <w:rFonts w:ascii="Times New Roman" w:hAnsi="Times New Roman" w:cs="Times New Roman"/>
        <w:bCs/>
        <w:sz w:val="18"/>
        <w:szCs w:val="18"/>
      </w:rPr>
      <w:fldChar w:fldCharType="begin"/>
    </w:r>
    <w:r w:rsidR="00AD38DB" w:rsidRPr="00AD38DB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AD38DB" w:rsidRPr="00AD38DB">
      <w:rPr>
        <w:rFonts w:ascii="Times New Roman" w:hAnsi="Times New Roman" w:cs="Times New Roman"/>
        <w:bCs/>
        <w:sz w:val="18"/>
        <w:szCs w:val="18"/>
      </w:rPr>
      <w:fldChar w:fldCharType="separate"/>
    </w:r>
    <w:r w:rsidR="00845D85" w:rsidRPr="00845D85">
      <w:rPr>
        <w:rFonts w:ascii="Times New Roman" w:hAnsi="Times New Roman" w:cs="Times New Roman"/>
        <w:bCs/>
        <w:noProof/>
        <w:sz w:val="18"/>
        <w:szCs w:val="18"/>
        <w:lang w:val="de-DE"/>
      </w:rPr>
      <w:t>7</w:t>
    </w:r>
    <w:r w:rsidR="00AD38DB" w:rsidRPr="00AD38DB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8DB" w:rsidRDefault="00AD38DB" w:rsidP="00AD38DB">
      <w:pPr>
        <w:spacing w:after="0" w:line="240" w:lineRule="auto"/>
      </w:pPr>
      <w:r>
        <w:separator/>
      </w:r>
    </w:p>
  </w:footnote>
  <w:footnote w:type="continuationSeparator" w:id="0">
    <w:p w:rsidR="00AD38DB" w:rsidRDefault="00AD38DB" w:rsidP="00AD3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7246"/>
    <w:multiLevelType w:val="hybridMultilevel"/>
    <w:tmpl w:val="50F2C7BC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5CD3A87"/>
    <w:multiLevelType w:val="hybridMultilevel"/>
    <w:tmpl w:val="1C564E6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0096D"/>
    <w:multiLevelType w:val="hybridMultilevel"/>
    <w:tmpl w:val="9E849B9A"/>
    <w:lvl w:ilvl="0" w:tplc="08B21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C331F"/>
    <w:multiLevelType w:val="hybridMultilevel"/>
    <w:tmpl w:val="EB8E6A7C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F7E52B8"/>
    <w:multiLevelType w:val="hybridMultilevel"/>
    <w:tmpl w:val="262CB8DC"/>
    <w:lvl w:ilvl="0" w:tplc="7730D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325CF"/>
    <w:multiLevelType w:val="hybridMultilevel"/>
    <w:tmpl w:val="51D83CE2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26B11B6"/>
    <w:multiLevelType w:val="hybridMultilevel"/>
    <w:tmpl w:val="2C2E4686"/>
    <w:lvl w:ilvl="0" w:tplc="02360A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923BA"/>
    <w:multiLevelType w:val="hybridMultilevel"/>
    <w:tmpl w:val="AAFAA67A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CBA1EC3"/>
    <w:multiLevelType w:val="hybridMultilevel"/>
    <w:tmpl w:val="AEB028DA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1FB7F97"/>
    <w:multiLevelType w:val="hybridMultilevel"/>
    <w:tmpl w:val="18FCE8D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3D4665"/>
    <w:multiLevelType w:val="hybridMultilevel"/>
    <w:tmpl w:val="9920D1BE"/>
    <w:lvl w:ilvl="0" w:tplc="F8F6B5E4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BC6027"/>
    <w:multiLevelType w:val="hybridMultilevel"/>
    <w:tmpl w:val="E132FEF2"/>
    <w:lvl w:ilvl="0" w:tplc="9C6EA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254DB2"/>
    <w:multiLevelType w:val="hybridMultilevel"/>
    <w:tmpl w:val="DA0A3002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8461E22"/>
    <w:multiLevelType w:val="hybridMultilevel"/>
    <w:tmpl w:val="8830171E"/>
    <w:lvl w:ilvl="0" w:tplc="0C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78326262"/>
    <w:multiLevelType w:val="hybridMultilevel"/>
    <w:tmpl w:val="1D6E4416"/>
    <w:lvl w:ilvl="0" w:tplc="06704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14"/>
  </w:num>
  <w:num w:numId="5">
    <w:abstractNumId w:val="11"/>
  </w:num>
  <w:num w:numId="6">
    <w:abstractNumId w:val="2"/>
  </w:num>
  <w:num w:numId="7">
    <w:abstractNumId w:val="0"/>
  </w:num>
  <w:num w:numId="8">
    <w:abstractNumId w:val="13"/>
  </w:num>
  <w:num w:numId="9">
    <w:abstractNumId w:val="3"/>
  </w:num>
  <w:num w:numId="10">
    <w:abstractNumId w:val="5"/>
  </w:num>
  <w:num w:numId="11">
    <w:abstractNumId w:val="7"/>
  </w:num>
  <w:num w:numId="12">
    <w:abstractNumId w:val="12"/>
  </w:num>
  <w:num w:numId="13">
    <w:abstractNumId w:val="8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8DB"/>
    <w:rsid w:val="006455AC"/>
    <w:rsid w:val="00845D85"/>
    <w:rsid w:val="0091326B"/>
    <w:rsid w:val="00AD38DB"/>
    <w:rsid w:val="00CF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9C02D"/>
  <w15:chartTrackingRefBased/>
  <w15:docId w15:val="{50304A0C-5664-4B2E-8A98-67D24F6D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D38D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D3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D38DB"/>
  </w:style>
  <w:style w:type="paragraph" w:styleId="Fuzeile">
    <w:name w:val="footer"/>
    <w:basedOn w:val="Standard"/>
    <w:link w:val="FuzeileZchn"/>
    <w:uiPriority w:val="99"/>
    <w:unhideWhenUsed/>
    <w:rsid w:val="00AD38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D3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1561</Words>
  <Characters>9837</Characters>
  <Application>Microsoft Office Word</Application>
  <DocSecurity>0</DocSecurity>
  <Lines>81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4</cp:revision>
  <dcterms:created xsi:type="dcterms:W3CDTF">2020-01-21T08:24:00Z</dcterms:created>
  <dcterms:modified xsi:type="dcterms:W3CDTF">2020-03-30T12:45:00Z</dcterms:modified>
</cp:coreProperties>
</file>