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A9" w:rsidRPr="004879F6" w:rsidRDefault="004D13A9" w:rsidP="004D13A9">
      <w:pPr>
        <w:spacing w:after="0" w:line="240" w:lineRule="atLeast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17.1</w:t>
      </w:r>
    </w:p>
    <w:p w:rsidR="004D13A9" w:rsidRPr="004879F6" w:rsidRDefault="004D13A9" w:rsidP="004D13A9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Klinische Mikrobiologie und Hygiene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trike/>
          <w:sz w:val="20"/>
        </w:rPr>
      </w:pPr>
    </w:p>
    <w:p w:rsidR="004D13A9" w:rsidRPr="004879F6" w:rsidRDefault="004D13A9" w:rsidP="004D13A9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Bakteriologie/Mykologie/Parasitologie: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Bakteriologie/Mykologie/Parasitologie: Taxonomie und Genetik der medizinisch relevanten Erreger, Epidemiologie, Habitate von Mikroorganismen, opportunistische Krankheitserreger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Identifikation von Bakterien, Pilzen und Parasiten, Methoden und Anwendungsgebiete der molekularbiologischen Typisierung von Infektionserregern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Klinik und Pathogenese von Infektionen durch Bakterien, Mykobakterien, Pilze und Parasiten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Antibiotika, Antimykotika, Antiparasitika und anderen Antiinfektiva, Einsatz in Prophylaxe, empirischer und gezielter Therapie, Antiinfektivaresistenz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Virologie: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Virologie: Taxonomie und Genetik der medizinisch relevanten Erreger, Interaktion zwischen Wirt und Virus, Epidemiologie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Identifikation von Viren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Präanalytik: Indikationsstellung zur virologischen Untersuchung, Beratung, Materialauswahl, richtige Probenabnahme, Annahme- und Rückweisekriterien und Lagerung von Probenmaterial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Klinik und Pathogenese von Infektionen durch Viren, Krankheitsverläufe (Latenz, Persistenz, akute und chronische Virusinfektionen)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Wirkungsweise der aktiven und passiven Immunisierung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Virostatika, Einsatz in Prophylaxe, empirischer und gezielter Therapie, Resistenz gegen antivirale Medikamente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Überblick über Infektionswege und -quellen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Einsatz und Evaluierung von Aufbereitungsverfahren (Reinigung, Desinfektion, Sterilisation – manuelle und maschinelle Verfahren, chemische, chemothermische und thermische Verfahren)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Surveillance und Infektionsepidemiologie nosokomialer Infektionen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Interventionsmöglichkeiten bei Häufung nosokomialer Infektionen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bei Baumaßnahmen und vor Beschaffung von Medizinprodukten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Validierung von Aufbereitungsprozessen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Hygiene in Gesundheitseinrichtungen 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krankenhaushygienisch relevante Gesetze, Normen und Richtlinien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Umwelthygiene und öffentliche Gesundheit: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Allgemeine Grundlagen der Umwelthygiene, Lebensmittel-, Wasser- und Abwasserhygiene, Arbeits-, Betriebs- und Sozialhygiene, Präventivmedizin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Untersuchungsverfahren der Umwelthygiene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Rechtsvorschriften und Normen für die einzelnen Teilbereiche der Hygiene, insbesondere der Umwelt-, Lebensmittel-, Wasser- und Abwa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</w:rPr>
              <w:t>sserhygiene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chemische und physikalische Umwelteinflüsse, chemische, physikalische, psychologische und soziale Noxen am Arbeitsplatz, mikrobielle und chemische Verunreinigungen von Wasser, Lebensmitteln und Luft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Krankheitsprävention, Gesundheitsförderung, Gesundheitssoziologie und -psychologie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des öffentlichen Gesundheitswesens (Aufgaben, Organisation)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Behördenverfahren, rechtliche Grundlagen der Gesundheitsvorsorge und der Infektionsprävention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Prophylaxe, Tropen- und Reisemedizin: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Immunabwehr bei Infektionen aller Altersgruppen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Grundlagen der Tropen- und Reisemedizin 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Infektionsdiagnostik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antimikrobiellen Therapie inkl. therapiebegleitende Untersuchungen und Verlaufskontrollen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Infektionsepidemiologie, lokale/nationale/globale Resistenzsituation wichtiger Erreger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Umwelt- und arbeitsbedingte Risiken und Erkrankungen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gesundheitliche Aufklärung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Patientinnen- und Patientensicherheit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Bakteriologie/Mykologie/Parasitologie: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ind w:left="851" w:hanging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Bakteriologie/Mykologie/Parasitologie und der entsprechenden Infektdiagnostik: Taxonomie und Genetik der medizinisch relevanten Erreger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Epidemiologie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Habitate von Mikroorganismen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opportunistische Krankheitserreger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ind w:left="851" w:hanging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Prinzipien der Identifikation von Bakterien, Pilzen und Parasiten</w:t>
            </w:r>
            <w:r w:rsidRPr="004879F6">
              <w:rPr>
                <w:rFonts w:ascii="Times New Roman" w:hAnsi="Times New Roman" w:cs="Times New Roman"/>
                <w:sz w:val="20"/>
              </w:rPr>
              <w:t>,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Methoden und Anwendungsgebiete der molekularbiologischen Typisierung von Infektionserregern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ind w:left="851" w:hanging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Präanalytik: Indikationsstellung zur mikrobiologischen Untersuchung, Beratung, Materialauswahl, richtige Probenabnahme, Annahme- und Rückweisekriterien und Lagerung von Probenmaterial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ind w:left="851" w:hanging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Klinik und Pathogenese von Infektionen durch Bakterien, Mykobakterien, Pilze und Parasiten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8"/>
              </w:numPr>
              <w:tabs>
                <w:tab w:val="left" w:pos="567"/>
              </w:tabs>
              <w:spacing w:after="0" w:line="240" w:lineRule="auto"/>
              <w:ind w:left="851" w:hanging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Antibiotika, Antimykotika, Antiparasitika und anderen Antiinfektiva, Einsatz in Prophylaxe, empirischer und gezielter Therapie, Antiinfektivaresistenz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Virologie: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Taxonomie und Genetik der medizinisch relevanten Erreger, Interaktion zwischen Wirt und Virus, Epidemiologie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Prinzipien der Identifikation von Viren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virologische Infektionsdiagnostik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Präanalytik: Indikationsstellung zur virologischen Untersuchung, Beratung, Materialauswahl, richtige Probenabnahme, Annahme- und Rückweisekriterien und Lagerung von Probenmaterial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Klinik und Pathogenese von Infektionen durch Viren, Krankheitsverläufe 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Wirkungsweise der aktiven und passiven Immunisierung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Wirkung von Virostatika, Einsatz in Prophylaxe, empirischer und gezielter Therapie, Resistenz gegen antivirale Medikamente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Überprüfung und Befundung von Verfahren zur Aufbereitung von Medizinprodukten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antimikrobiales </w:t>
            </w:r>
            <w:r w:rsidRPr="004879F6">
              <w:rPr>
                <w:rFonts w:ascii="Times New Roman" w:hAnsi="Times New Roman" w:cs="Times New Roman"/>
                <w:sz w:val="20"/>
              </w:rPr>
              <w:t>Stewardship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Mitwirkung an Stellungnahmen zu krankenhaushygienischen Fragestellungen</w:t>
            </w: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Umwelthygiene und Öffentliche Gesundheit: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hygienisch-mikrobiologische Untersuchung, Beurteilung und Begutachtung nicht-klinischer Proben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Prophylaxe, Tropen- und Reisemedizin: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Überprüfung des Impferfolgs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diagnostische Abklärung von Reiserückkehrerinnen und -rückkehrer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Labororganisation, Ressourcenmanagement, Qualitätsmanagement, fachspezifische Beratung und Teilnahme an Visiten bzw. Situationsbeurteilung vor Ort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Infektiologie: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von Patientinnen und Patienten mit Infektionskrankheiten</w:t>
            </w:r>
          </w:p>
        </w:tc>
      </w:tr>
      <w:tr w:rsidR="004D13A9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</w:tbl>
    <w:p w:rsidR="004D13A9" w:rsidRPr="004879F6" w:rsidRDefault="004D13A9" w:rsidP="004D13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0"/>
        <w:gridCol w:w="1466"/>
      </w:tblGrid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Bakteriologie/Mykologie/Parasitologie: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Mikroskopie: Mikroskopier-, Färbe- und Messmethoden, Nachweis von Mikroorganismen durch verschiedene Nachweisverfahren in Untersuchungsproben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Anzucht von Bakterien und Pilzen auf verschiedenen Nährmedien, Identifizierung mittels morphologischer, biochemischer, immunologischer, molekularbiologischer und anderer 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Nachweis der Empfindlichkeit und Resistenz gegen Antibiotika, Antimykotika und anderer Antiinfektiva mit qualitativen und quantitativen Verfahren, mikrobiologischer, biochemischer und molekularbiologischer Nachweis von Resistenzmechanismen, Konzentrationsbestimmung von antimikrobiellen Substanzen aus Untersuchungsproben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Verfahren der bakteriologisch-mykologisch-parasitologischen Infektionsserologie und Infektionsimmunologie, direkter und indirekter Erregernachweis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Befunderstellung und Interpretation im Zusammenhang mit dem klinischen Bild, Therapieempfehlungen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Virologie: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Erhebung infektionsrelevanter Anamnesen, </w:t>
            </w: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fachspezifische Probengewinnung, Diagnostik und Befundinterpretation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qualitative und quantitative Verfahren der diagnostischen Virologie, Identifikation durch Antigennachweis mittels immunologischer Verfahren, Nukleinsäurenachweis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Verfahren der virologischen Infektionsserologie und Infektionsimmunologie, direkter und indirekter Erregernachweis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Beurteilung der Validität von Testergebnissen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Befunderstellung und Interpretation im Zusammenhang mit dem klinischen Bild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Empfehlungen betreffend die Infektionsprävention (aktive und passive Immunisierung) und die therapeutischen Möglichkeiten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Krankenhaushygiene: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Erstellung und Aktualisierung eines allgemeinen Hygieneplans, z.B. Dialyse, Laborbereich – Desinfektionsplan und Ablaufpläne hygienisch relevanter Handlungen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Infektionserfassung (Surveillance)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epidemiologische Erfassung von und Intervention bei nosokomialen Infektionen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Ausbruchsabklärung und Ausbruchsmanagement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mikrobiologische Umgebungsuntersuchungen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Hygienemaßnahmen im Umgang mit Erkrankten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Spezifische Prophylaxe, Tropen- und Reisemedizin: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reisemedizinische Beratung (Expositions-, Dispositions-/Immun- und Chemoprophylaxe)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Durchführung von Impfungen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Meldewesen und Meldepflicht von Infektionskrankheiten bzw. deren Erregern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Umgang mit biologischen Arbeitsstoffen (Risikoklassen), Labor- und Arbeitssicherheit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Infektiologie: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interdisziplinäre Abklärung bei Infektionsverdacht inkl. klinische Untersuchung sowie fachspezifische Interpretation von Befunden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Prophylaxe von Infektionskrankheiten sowie Mitwirkung bei deren Behandlung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 xml:space="preserve">Information und Kommunikation mit Patientinnen und Patienten und Angehörigen über Vorbereitung, Indikation, Durchführung und Risiken von Untersuchungen und Behandlungen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rPr>
          <w:cantSplit/>
        </w:trPr>
        <w:tc>
          <w:tcPr>
            <w:tcW w:w="779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D13A9" w:rsidRPr="004879F6" w:rsidRDefault="004D13A9" w:rsidP="004D1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4D13A9" w:rsidRPr="004879F6" w:rsidRDefault="004D13A9" w:rsidP="004D13A9">
      <w:pPr>
        <w:spacing w:after="0"/>
        <w:jc w:val="center"/>
        <w:outlineLvl w:val="0"/>
        <w:rPr>
          <w:rFonts w:ascii="Times New Roman" w:hAnsi="Times New Roman" w:cs="Times New Roman"/>
          <w:b/>
          <w:strike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Modul 1: Bakteriologie/Mykologie/Parasitologie 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Testmethoden bei Erregern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Anzucht und Anreicherung von Erregern inkl. Anforderungen und Richtlinien mit dem Umgang mit biologischen Materialien und Mikroorganismen unterschiedlicher Risikoklassen, Laborsicherheit, Arbeitssicherheit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Labormanagement und Logistik bei einem Ausbruch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Testmethoden für Mykobakteriosen</w:t>
            </w:r>
          </w:p>
        </w:tc>
      </w:tr>
    </w:tbl>
    <w:p w:rsidR="004D13A9" w:rsidRPr="004879F6" w:rsidRDefault="004D13A9" w:rsidP="004D13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4D13A9" w:rsidRPr="004879F6" w:rsidTr="00BE4DBF">
        <w:tc>
          <w:tcPr>
            <w:tcW w:w="810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c>
          <w:tcPr>
            <w:tcW w:w="810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Testmethoden medizinisch relevanter Bakterien inkl. schwer anzüchtbarer und seltener Erreger, molekularbiologischer Nachweis und Identifizierung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10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Testmethoden für Hefen und Fadenpilze, deren Nachweis und Identifizierung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10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Testmethoden für Parasiten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10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Befunderstellung</w:t>
            </w:r>
            <w:r w:rsidRPr="004879F6"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  <w:t xml:space="preserve"> und Interpretation im Zusammenhang mit dem klinischen Bild, Therapieempfehlungen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13A9" w:rsidRPr="004879F6" w:rsidRDefault="004D13A9" w:rsidP="004D13A9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2: Angewandte Virologie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Testmethoden bei Viren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Anzucht und Anreicherung von Erregern in inkl. Anforderungen und Richtlinien mit dem Umgang, unterschiedliche Risikoklassen, Laborsicherheit, Arbeitssicherheit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Virusresistenztestungen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Labormanagement und Logistik bei einem Ausbruch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1426"/>
      </w:tblGrid>
      <w:tr w:rsidR="004D13A9" w:rsidRPr="004879F6" w:rsidTr="00BE4DBF">
        <w:tc>
          <w:tcPr>
            <w:tcW w:w="805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c>
          <w:tcPr>
            <w:tcW w:w="805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Spezifische Testmethoden medizinisch relevanter Viren, Nachweis und Identifizierung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5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Befunderstellung und Interpretation im Zusammenhang mit dem klinischen Bild, Therapieempfehlungen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3: Krankenhaushygiene/Technische Hygiene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der Krankenhaushygiene und der technischen Hygiene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Nachweis von MRSA und anderen multiresistenten Erregern sowie andere nosokomiale Infektionserreger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Molekulargenetische Untersuchungsverfahren bei infektiologischen Fragestellungen, insbesondere im Rahmen der Ausbruchsabklärung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3"/>
        <w:gridCol w:w="1433"/>
      </w:tblGrid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Bauhygiene: 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Hygienemaßnahmen bei Neu-, Zu- und Umbauten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Infektions-Surveillance sowie Auswertung epidemiologischer Erhebungen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Erreger- und Resistenzstatistiken (Mitwirkung bei der Erstellung eines Konzepts zur wirksamen Eindämmung von Erregerselektion und Resistenzentwicklungen)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  <w:t xml:space="preserve">Ausbruchsabklärung: 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  <w:t>MRSA und andere multiresistente Erreger sowie andere nosokomiale Infektionserreger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  <w:t>Einsatz und Evaluierung von Hygienemaßnahmen am Krankenbett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eastAsia="SimSun" w:hAnsi="Times New Roman" w:cs="Times New Roman"/>
                <w:kern w:val="1"/>
                <w:sz w:val="20"/>
                <w:lang w:eastAsia="hi-IN" w:bidi="hi-IN"/>
              </w:rPr>
              <w:t>Technische Krankenhaushygiene: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Begutachtung von wasserhygienischen Prüfergebnissen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Beurteilung von raumlufttechnischen Anlagen in Krankenanstalten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Strukturierung und Ablauf der Aufbereitung sowie Validierung der Aufbereitung von Medizinprodukten in Gesundheitseinrichtungen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4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 xml:space="preserve">Begutachtung von technischen Prüfprotokollen </w:t>
            </w:r>
          </w:p>
        </w:tc>
        <w:tc>
          <w:tcPr>
            <w:tcW w:w="143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Umwelthygiene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Überblick über Methoden der Gesundheitsberichterstattung und gesundheitsrelevante Datenbanken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von chemischen und physikalischen Umweltnoxen in verschiedenen Umweltmedien, Nachweis von umweltbedingten Erkrankungen und deren Behandlung, Erstellung von Umweltgutachten, Bau- und Wohnungshygiene, Begutachtung der Lärmbelastung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von Methoden der Arbeitshygiene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Durchführung mikrobiologischer und chemischer Untersuchungen sowie Begutachtung von Trinkwasser, Badewasser, Abwasser, Lebensmitteln, Verzehrprodukten, Zusatzstoffen, kosmetischen Mitteln und Luft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der Methoden zur Datenerhebung und -bewertung bei aktuellen Fragestellungen der Gesundheitsberichterstattung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1"/>
        <w:gridCol w:w="1405"/>
      </w:tblGrid>
      <w:tr w:rsidR="004D13A9" w:rsidRPr="004879F6" w:rsidTr="00BE4DBF">
        <w:tc>
          <w:tcPr>
            <w:tcW w:w="82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rPr>
          <w:trHeight w:val="739"/>
        </w:trPr>
        <w:tc>
          <w:tcPr>
            <w:tcW w:w="82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von fachspezifischen Untersuchungsverfahren der Umwelthygiene sowie der Präventivmedizin inkl. Wohn- und Arbeitsumfeld sowie diverse Umweltmedien wie Luft, Wasser und Boden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22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epidemiologischer Methoden betreffend nichtinfektiöser Krankheiten, Demographie, Statistik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5: Reisemedizin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Epidemiologie von reiseassoziierten Gesundheitsstörungen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Erscheinungsbild, Pathogenese, Diagnostik, Therapie und Prävention von Tropenkrankheiten 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Reiseassoziierte Gesundheitsstörungen 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Grundlagen spezifischer reiseassoziierter Risiken 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Beratung und Betreuung von Reisenden mit spezifischen Bedürfnissen 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Sozial- und arbeitsmedizinische Aspekte von reiseassoziierten Gesundheitsstörungen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des internationalen Gesundheitswesens, internationale und nationale Rechtsvorschriften im Bereich des Impfwesens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</w:t>
            </w: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 Untersuchung bei und Therapie von Tropen- und anderen reiseassoziierten Krankheiten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7"/>
        <w:gridCol w:w="1429"/>
      </w:tblGrid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hi-IN" w:bidi="hi-IN"/>
              </w:rPr>
              <w:t>Diagnostik von Reise- und Tropenkrankheiten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Interdisziplinäre Feststellung der Reise- und Tropentauglichkeit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Tropen- und reisemedizinische Betreuung während der Reise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Mitwirkung bei der Abklärung von Erkrankungen von Reise- und Tropenrückkehrerinnen und -rückkehrern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6: Klinische Mikrobiologie und Infektiologie</w:t>
      </w:r>
    </w:p>
    <w:p w:rsidR="004D13A9" w:rsidRPr="004879F6" w:rsidRDefault="004D13A9" w:rsidP="004D13A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Infektionsdiagnostik inkl. seltene Erreger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Antimikrobielle Therapie und Prophylaxe inkl. Pharmakokinetik, Nebenwirkungen, Interaktionen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hi-IN" w:bidi="hi-IN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Diagnostik und Therapie bei besonderen Patientinnen und Patientengruppen (Schwangere, Immunsupprimierte, Intensivpatientinnen und -patienten, geriatrische Patientinnen und Patienten)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Mitwirkung bei Visiten, Information und Kommunikation mit </w:t>
            </w:r>
            <w:r w:rsidRPr="004879F6">
              <w:rPr>
                <w:rFonts w:ascii="Times New Roman" w:hAnsi="Times New Roman" w:cs="Times New Roman"/>
                <w:sz w:val="20"/>
                <w:lang w:val="de-DE" w:eastAsia="hi-IN" w:bidi="hi-IN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betreffend mikrobiologische und infektiologische Erkrankungen</w:t>
            </w:r>
          </w:p>
        </w:tc>
      </w:tr>
      <w:tr w:rsidR="004D13A9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Kommunikation von Resistenzstatistiken, Antibiotic Stewardship</w:t>
            </w:r>
          </w:p>
        </w:tc>
      </w:tr>
    </w:tbl>
    <w:p w:rsidR="004D13A9" w:rsidRPr="004879F6" w:rsidRDefault="004D13A9" w:rsidP="004D13A9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7"/>
        <w:gridCol w:w="1429"/>
      </w:tblGrid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D13A9" w:rsidRPr="004879F6" w:rsidTr="00BE4DBF">
        <w:tc>
          <w:tcPr>
            <w:tcW w:w="809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4D13A9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Abklärung bei Infektionsverdacht und Mitwirken bei Behandlung sowie Prophylaxe von Infektionskrankheiten </w:t>
            </w:r>
          </w:p>
        </w:tc>
        <w:tc>
          <w:tcPr>
            <w:tcW w:w="1429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D13A9" w:rsidRPr="004879F6" w:rsidRDefault="004D13A9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D13A9" w:rsidRPr="004879F6" w:rsidRDefault="004D13A9" w:rsidP="004D13A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4D13A9" w:rsidRPr="004879F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3A9" w:rsidRDefault="004D13A9" w:rsidP="004D13A9">
      <w:pPr>
        <w:spacing w:after="0" w:line="240" w:lineRule="auto"/>
      </w:pPr>
      <w:r>
        <w:separator/>
      </w:r>
    </w:p>
  </w:endnote>
  <w:endnote w:type="continuationSeparator" w:id="0">
    <w:p w:rsidR="004D13A9" w:rsidRDefault="004D13A9" w:rsidP="004D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A9" w:rsidRPr="004D13A9" w:rsidRDefault="004D13A9">
    <w:pPr>
      <w:pStyle w:val="Fuzeile"/>
      <w:rPr>
        <w:rFonts w:ascii="Times New Roman" w:hAnsi="Times New Roman" w:cs="Times New Roman"/>
        <w:sz w:val="18"/>
        <w:szCs w:val="18"/>
      </w:rPr>
    </w:pPr>
    <w:r w:rsidRPr="004D13A9">
      <w:rPr>
        <w:rFonts w:ascii="Times New Roman" w:hAnsi="Times New Roman" w:cs="Times New Roman"/>
        <w:sz w:val="18"/>
        <w:szCs w:val="18"/>
      </w:rPr>
      <w:t>ÄAO 2015, 3. Nov. KEF u. RZ-V 2015, Version 1.</w:t>
    </w:r>
    <w:r w:rsidR="001E06DF">
      <w:rPr>
        <w:rFonts w:ascii="Times New Roman" w:hAnsi="Times New Roman" w:cs="Times New Roman"/>
        <w:sz w:val="18"/>
        <w:szCs w:val="18"/>
      </w:rPr>
      <w:t>3</w:t>
    </w:r>
    <w:r w:rsidR="00C06AA0">
      <w:rPr>
        <w:rFonts w:ascii="Times New Roman" w:hAnsi="Times New Roman" w:cs="Times New Roman"/>
        <w:sz w:val="18"/>
        <w:szCs w:val="18"/>
      </w:rPr>
      <w:t>.</w:t>
    </w:r>
    <w:r w:rsidRPr="004D13A9">
      <w:rPr>
        <w:rFonts w:ascii="Times New Roman" w:hAnsi="Times New Roman" w:cs="Times New Roman"/>
        <w:sz w:val="18"/>
        <w:szCs w:val="18"/>
      </w:rPr>
      <w:t xml:space="preserve"> für Ausbildungsbeginn ab </w:t>
    </w:r>
    <w:r>
      <w:rPr>
        <w:rFonts w:ascii="Times New Roman" w:hAnsi="Times New Roman" w:cs="Times New Roman"/>
        <w:sz w:val="18"/>
        <w:szCs w:val="18"/>
      </w:rPr>
      <w:t>01.01.2020</w:t>
    </w:r>
    <w:r>
      <w:rPr>
        <w:rFonts w:ascii="Times New Roman" w:hAnsi="Times New Roman" w:cs="Times New Roman"/>
        <w:sz w:val="18"/>
        <w:szCs w:val="18"/>
      </w:rPr>
      <w:tab/>
    </w:r>
    <w:r w:rsidRPr="004D13A9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4D13A9">
      <w:rPr>
        <w:rFonts w:ascii="Times New Roman" w:hAnsi="Times New Roman" w:cs="Times New Roman"/>
        <w:bCs/>
        <w:sz w:val="18"/>
        <w:szCs w:val="18"/>
      </w:rPr>
      <w:fldChar w:fldCharType="begin"/>
    </w:r>
    <w:r w:rsidRPr="004D13A9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4D13A9">
      <w:rPr>
        <w:rFonts w:ascii="Times New Roman" w:hAnsi="Times New Roman" w:cs="Times New Roman"/>
        <w:bCs/>
        <w:sz w:val="18"/>
        <w:szCs w:val="18"/>
      </w:rPr>
      <w:fldChar w:fldCharType="separate"/>
    </w:r>
    <w:r w:rsidR="001E06DF" w:rsidRPr="001E06DF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4D13A9">
      <w:rPr>
        <w:rFonts w:ascii="Times New Roman" w:hAnsi="Times New Roman" w:cs="Times New Roman"/>
        <w:bCs/>
        <w:sz w:val="18"/>
        <w:szCs w:val="18"/>
      </w:rPr>
      <w:fldChar w:fldCharType="end"/>
    </w:r>
    <w:r w:rsidRPr="004D13A9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4D13A9">
      <w:rPr>
        <w:rFonts w:ascii="Times New Roman" w:hAnsi="Times New Roman" w:cs="Times New Roman"/>
        <w:bCs/>
        <w:sz w:val="18"/>
        <w:szCs w:val="18"/>
      </w:rPr>
      <w:fldChar w:fldCharType="begin"/>
    </w:r>
    <w:r w:rsidRPr="004D13A9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4D13A9">
      <w:rPr>
        <w:rFonts w:ascii="Times New Roman" w:hAnsi="Times New Roman" w:cs="Times New Roman"/>
        <w:bCs/>
        <w:sz w:val="18"/>
        <w:szCs w:val="18"/>
      </w:rPr>
      <w:fldChar w:fldCharType="separate"/>
    </w:r>
    <w:r w:rsidR="001E06DF" w:rsidRPr="001E06DF">
      <w:rPr>
        <w:rFonts w:ascii="Times New Roman" w:hAnsi="Times New Roman" w:cs="Times New Roman"/>
        <w:bCs/>
        <w:noProof/>
        <w:sz w:val="18"/>
        <w:szCs w:val="18"/>
        <w:lang w:val="de-DE"/>
      </w:rPr>
      <w:t>10</w:t>
    </w:r>
    <w:r w:rsidRPr="004D13A9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3A9" w:rsidRDefault="004D13A9" w:rsidP="004D13A9">
      <w:pPr>
        <w:spacing w:after="0" w:line="240" w:lineRule="auto"/>
      </w:pPr>
      <w:r>
        <w:separator/>
      </w:r>
    </w:p>
  </w:footnote>
  <w:footnote w:type="continuationSeparator" w:id="0">
    <w:p w:rsidR="004D13A9" w:rsidRDefault="004D13A9" w:rsidP="004D1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FF0"/>
    <w:multiLevelType w:val="hybridMultilevel"/>
    <w:tmpl w:val="9120F3F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3D06"/>
    <w:multiLevelType w:val="hybridMultilevel"/>
    <w:tmpl w:val="93523D9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5AF41C5"/>
    <w:multiLevelType w:val="hybridMultilevel"/>
    <w:tmpl w:val="ED16F1C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7CC57FE"/>
    <w:multiLevelType w:val="hybridMultilevel"/>
    <w:tmpl w:val="E43A41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D4EBA"/>
    <w:multiLevelType w:val="hybridMultilevel"/>
    <w:tmpl w:val="F510108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32A9D"/>
    <w:multiLevelType w:val="hybridMultilevel"/>
    <w:tmpl w:val="E7C4FB6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0ED7122B"/>
    <w:multiLevelType w:val="hybridMultilevel"/>
    <w:tmpl w:val="3AFC383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0F2A03AB"/>
    <w:multiLevelType w:val="hybridMultilevel"/>
    <w:tmpl w:val="D64A6E6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0F920AE2"/>
    <w:multiLevelType w:val="hybridMultilevel"/>
    <w:tmpl w:val="530690C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2074EFC"/>
    <w:multiLevelType w:val="hybridMultilevel"/>
    <w:tmpl w:val="A2DAEF3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12241122"/>
    <w:multiLevelType w:val="hybridMultilevel"/>
    <w:tmpl w:val="DDE2B36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F0463"/>
    <w:multiLevelType w:val="hybridMultilevel"/>
    <w:tmpl w:val="1700BF3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1FB17202"/>
    <w:multiLevelType w:val="hybridMultilevel"/>
    <w:tmpl w:val="0E48638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08304D5"/>
    <w:multiLevelType w:val="hybridMultilevel"/>
    <w:tmpl w:val="0D6A0E9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22508"/>
    <w:multiLevelType w:val="hybridMultilevel"/>
    <w:tmpl w:val="D4EE54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B111D"/>
    <w:multiLevelType w:val="hybridMultilevel"/>
    <w:tmpl w:val="8D0A56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8041C"/>
    <w:multiLevelType w:val="hybridMultilevel"/>
    <w:tmpl w:val="A9FA79B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273442CD"/>
    <w:multiLevelType w:val="hybridMultilevel"/>
    <w:tmpl w:val="C8FAD9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B72DC"/>
    <w:multiLevelType w:val="hybridMultilevel"/>
    <w:tmpl w:val="4948C49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E66BE"/>
    <w:multiLevelType w:val="hybridMultilevel"/>
    <w:tmpl w:val="B28A01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F7600"/>
    <w:multiLevelType w:val="hybridMultilevel"/>
    <w:tmpl w:val="4D0C39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43255"/>
    <w:multiLevelType w:val="hybridMultilevel"/>
    <w:tmpl w:val="631A766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2C4B016E"/>
    <w:multiLevelType w:val="hybridMultilevel"/>
    <w:tmpl w:val="2526AC5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9290A"/>
    <w:multiLevelType w:val="hybridMultilevel"/>
    <w:tmpl w:val="2C4EFAD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33061F40"/>
    <w:multiLevelType w:val="hybridMultilevel"/>
    <w:tmpl w:val="1C56682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35082189"/>
    <w:multiLevelType w:val="hybridMultilevel"/>
    <w:tmpl w:val="6E3EAEA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376D5"/>
    <w:multiLevelType w:val="hybridMultilevel"/>
    <w:tmpl w:val="E66C78F0"/>
    <w:lvl w:ilvl="0" w:tplc="9078B270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60119"/>
    <w:multiLevelType w:val="hybridMultilevel"/>
    <w:tmpl w:val="B380E2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66BF3"/>
    <w:multiLevelType w:val="hybridMultilevel"/>
    <w:tmpl w:val="3BC2FA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3C45E2"/>
    <w:multiLevelType w:val="hybridMultilevel"/>
    <w:tmpl w:val="4ECC67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81C0A"/>
    <w:multiLevelType w:val="hybridMultilevel"/>
    <w:tmpl w:val="A3A8FD4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49FD2DAB"/>
    <w:multiLevelType w:val="hybridMultilevel"/>
    <w:tmpl w:val="5664D09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4C581C03"/>
    <w:multiLevelType w:val="hybridMultilevel"/>
    <w:tmpl w:val="CFC06E5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51614E0F"/>
    <w:multiLevelType w:val="hybridMultilevel"/>
    <w:tmpl w:val="9AEE3C1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E5E0C"/>
    <w:multiLevelType w:val="hybridMultilevel"/>
    <w:tmpl w:val="5CA45D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143CC"/>
    <w:multiLevelType w:val="hybridMultilevel"/>
    <w:tmpl w:val="50D45AA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6307545F"/>
    <w:multiLevelType w:val="hybridMultilevel"/>
    <w:tmpl w:val="0E96D93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64613728"/>
    <w:multiLevelType w:val="hybridMultilevel"/>
    <w:tmpl w:val="7BE8D6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42FAD"/>
    <w:multiLevelType w:val="hybridMultilevel"/>
    <w:tmpl w:val="914230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32E43"/>
    <w:multiLevelType w:val="hybridMultilevel"/>
    <w:tmpl w:val="11C4E6E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0147CC2"/>
    <w:multiLevelType w:val="hybridMultilevel"/>
    <w:tmpl w:val="F9A862C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 w15:restartNumberingAfterBreak="0">
    <w:nsid w:val="75115946"/>
    <w:multiLevelType w:val="hybridMultilevel"/>
    <w:tmpl w:val="1C58C57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8"/>
  </w:num>
  <w:num w:numId="3">
    <w:abstractNumId w:val="20"/>
  </w:num>
  <w:num w:numId="4">
    <w:abstractNumId w:val="22"/>
  </w:num>
  <w:num w:numId="5">
    <w:abstractNumId w:val="37"/>
  </w:num>
  <w:num w:numId="6">
    <w:abstractNumId w:val="34"/>
  </w:num>
  <w:num w:numId="7">
    <w:abstractNumId w:val="26"/>
  </w:num>
  <w:num w:numId="8">
    <w:abstractNumId w:val="33"/>
  </w:num>
  <w:num w:numId="9">
    <w:abstractNumId w:val="18"/>
  </w:num>
  <w:num w:numId="10">
    <w:abstractNumId w:val="14"/>
  </w:num>
  <w:num w:numId="11">
    <w:abstractNumId w:val="10"/>
  </w:num>
  <w:num w:numId="12">
    <w:abstractNumId w:val="4"/>
  </w:num>
  <w:num w:numId="13">
    <w:abstractNumId w:val="13"/>
  </w:num>
  <w:num w:numId="14">
    <w:abstractNumId w:val="27"/>
  </w:num>
  <w:num w:numId="15">
    <w:abstractNumId w:val="28"/>
  </w:num>
  <w:num w:numId="16">
    <w:abstractNumId w:val="15"/>
  </w:num>
  <w:num w:numId="17">
    <w:abstractNumId w:val="0"/>
  </w:num>
  <w:num w:numId="18">
    <w:abstractNumId w:val="29"/>
  </w:num>
  <w:num w:numId="19">
    <w:abstractNumId w:val="17"/>
  </w:num>
  <w:num w:numId="20">
    <w:abstractNumId w:val="3"/>
  </w:num>
  <w:num w:numId="21">
    <w:abstractNumId w:val="19"/>
  </w:num>
  <w:num w:numId="22">
    <w:abstractNumId w:val="30"/>
  </w:num>
  <w:num w:numId="23">
    <w:abstractNumId w:val="24"/>
  </w:num>
  <w:num w:numId="24">
    <w:abstractNumId w:val="40"/>
  </w:num>
  <w:num w:numId="25">
    <w:abstractNumId w:val="36"/>
  </w:num>
  <w:num w:numId="26">
    <w:abstractNumId w:val="32"/>
  </w:num>
  <w:num w:numId="27">
    <w:abstractNumId w:val="21"/>
  </w:num>
  <w:num w:numId="28">
    <w:abstractNumId w:val="16"/>
  </w:num>
  <w:num w:numId="29">
    <w:abstractNumId w:val="35"/>
  </w:num>
  <w:num w:numId="30">
    <w:abstractNumId w:val="5"/>
  </w:num>
  <w:num w:numId="31">
    <w:abstractNumId w:val="41"/>
  </w:num>
  <w:num w:numId="32">
    <w:abstractNumId w:val="2"/>
  </w:num>
  <w:num w:numId="33">
    <w:abstractNumId w:val="9"/>
  </w:num>
  <w:num w:numId="34">
    <w:abstractNumId w:val="31"/>
  </w:num>
  <w:num w:numId="35">
    <w:abstractNumId w:val="12"/>
  </w:num>
  <w:num w:numId="36">
    <w:abstractNumId w:val="7"/>
  </w:num>
  <w:num w:numId="37">
    <w:abstractNumId w:val="11"/>
  </w:num>
  <w:num w:numId="38">
    <w:abstractNumId w:val="8"/>
  </w:num>
  <w:num w:numId="39">
    <w:abstractNumId w:val="39"/>
  </w:num>
  <w:num w:numId="40">
    <w:abstractNumId w:val="1"/>
  </w:num>
  <w:num w:numId="41">
    <w:abstractNumId w:val="23"/>
  </w:num>
  <w:num w:numId="4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A9"/>
    <w:rsid w:val="001E06DF"/>
    <w:rsid w:val="004D13A9"/>
    <w:rsid w:val="0071468D"/>
    <w:rsid w:val="00C0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D735"/>
  <w15:chartTrackingRefBased/>
  <w15:docId w15:val="{85DF7ECD-0F11-48B2-9B14-F208733D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13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D1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13A9"/>
  </w:style>
  <w:style w:type="paragraph" w:styleId="Fuzeile">
    <w:name w:val="footer"/>
    <w:basedOn w:val="Standard"/>
    <w:link w:val="FuzeileZchn"/>
    <w:uiPriority w:val="99"/>
    <w:unhideWhenUsed/>
    <w:rsid w:val="004D1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1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2040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2020-01-21T10:34:00Z</dcterms:created>
  <dcterms:modified xsi:type="dcterms:W3CDTF">2020-03-30T13:48:00Z</dcterms:modified>
</cp:coreProperties>
</file>