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4E" w:rsidRPr="004879F6" w:rsidRDefault="001B464E" w:rsidP="001B464E">
      <w:pPr>
        <w:spacing w:after="0" w:line="200" w:lineRule="exact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7</w:t>
      </w:r>
    </w:p>
    <w:p w:rsidR="001B464E" w:rsidRPr="004879F6" w:rsidRDefault="001B464E" w:rsidP="001B464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Frauenheilkunde und Geburtshilfe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464E" w:rsidRPr="004879F6" w:rsidRDefault="001B464E" w:rsidP="001B464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Sonderfach Grundausbildung (36 Monate) 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und Histologie der weiblichen Geschlechtsorgane und der Brustdrüse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Endokrine Regulation der Ovarialfunktion, endokrine Diagnostik in der Frauenheilkunde einschließlich der Kindheit, der Adoleszenz, der geschlechtsreifen Frau, des Klimakteriums und der Frühschwangerschaft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Pathophysiologie, Basisdiagnostik und Basistherapie der Infertilität, des Klimakteriums und der Hormontherapie in der Peri- und Postmenopause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Methoden, Indikationen und Kontraindikationen der Kontrazeption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Pathogenese, Pathophysiologie, Symptomatologie gutartiger und bösartiger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Anatomie der Geburtshilfe, feto-maternalen Physiologie und Epidemiologie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Klinische, apparative, operative und invasive Untersuchungsmethoden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Pränataldiagnostik und Genetik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Reproduktionsmedizin und Transgendermedizin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Zytodiagnostische Verfahren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Postoperative Rehabilitation sowie Erfordernisse der Nachsorge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Diagnostik, Beratung und Behandlung psychosozialer und psychosexueller Störungen jeden Frauenalters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Erkennen von Zeichen des Missbrauchs sowie Betreuung von Frauen nach Gewalt inklusive 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„Female Genitale Mutilation“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 und gesundheitliche Aufklärung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Orientierung über soziale Einrichtungen, Institutionen und Möglichkeiten der Rehabilitation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hideMark/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1B464E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p w:rsidR="001B464E" w:rsidRDefault="001B464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  <w:bookmarkStart w:id="0" w:name="_GoBack"/>
      <w:bookmarkEnd w:id="0"/>
    </w:p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Differentialdiagnostik fachspezifischer gutartiger und bösartiger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Diagnostik, Beratung und Behandlung gynäkologischer Erkrankungen aller Altersstufen der Frau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Information und Kommunikation mit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und Angehörigen über Vorbereitung, Indikation, Durchführung und Risiken von Untersuchungen und Behandlungen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Gynäkologische Untersuchung und Beratung von Kindern und Jugendlichen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Operative Eingriffe am äußeren und inneren Genitale sowie der Mamma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prä- und postoperativer Komplikationen und perioperative Therapie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Urogynäkologie sowie Interpretation von urodynamischen Untersuchungen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Untersuchungen zur Früherkennung gynäkologischer Krebserkrankungen unter besonderer Berücksichtigung der Kenntnisse zytodiagnostischer Verfahren und der Kolposkopie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 operativer gynäkologischer Behandlungsmethoden inkl. Behandlungsmethoden gynäkologischer Malignome und bösartiger Erkrankungen der weiblichen Brust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Allfällige fachspezifische zytostatische, immunmodulatorische, supportive und palliative Behandlungszyklen und nachfolgende Überwachung und Beherrschung der Komplikationen nach interdisziplinärer Indikationsstellung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Indikationsstellung, Durchführung fachspezifischer, medikamentöser und operativer Behandlungsmethoden von Malignomen unter Einbeziehung multimodaler und medikamentöser onkologischer Therapien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und Erfahrung der multidisziplinären Koordination von Behandlungsabläufen sowie Mitwirkung in interdisziplinären Einrichtungen wie Tumorboards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Nachsorgemedizin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bei Störungen der Ovarialfunktion und Sterilität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endokrine Diagnostik und Therapie und Betreuung der Frauen in der Peri- und Postmenopause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Abklärung von Zyklusstörungen, klimakterischen Beschwerden und vor hormoneller Kontrazeption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Methoden, Indikationen und Kontraindikationen der Kontrazeption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Abklärung bei Störungen der Pubertätsentwicklung und in der Kinder- und Jugendgynäkologie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von Laboruntersuchungen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Medikamente in Schwangerschaft und Stillzeit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 in Gynäkologie und Geburtshilfe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Neugeborenen-Reanimation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Pathologischer Verlauf der Schwangerschaft unter besonderer Berücksichtigung von Früh- und Spätschwangerschaften, Erkennen von Risikofaktoren und Umwelteinflüssen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Schmerztherapie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Palliativmedizin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Qualitätssicherung und Dokumentation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Zeugnissen, etc.)</w:t>
            </w:r>
          </w:p>
        </w:tc>
      </w:tr>
    </w:tbl>
    <w:p w:rsidR="001B464E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p w:rsidR="001B464E" w:rsidRDefault="001B464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1B464E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37"/>
        <w:gridCol w:w="1489"/>
      </w:tblGrid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br w:type="page"/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 (Operations-und Eingriffszahlen aus der Sonderfach-Grundausbildung und der Sonderfach-Schwerpunktausbildung sind wechselseitig anrechenbar)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Akutmedizin: Erkennen und Vorgehen bei akuten, lebensbedrohlichen Situationen, Schnelldiagnostik, Sofortmaßnahmen und Erstversorgung 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Durchführung, Befundung und Dokumentation fachspezifischer sonographischer Untersuchungen 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500 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 xml:space="preserve">(davon Geburtshilfe 300, 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 xml:space="preserve">Gynäkologie 200) 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Begleitung und Beurteilung der Schwangerschafts- und des Geburtsverlaufs; Überwachung und Betreuung von Mutter und Kind während und nach der Geburt und im Wochenbett: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ind w:left="709" w:hanging="294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Leitung einer physiologischen Geburt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180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ind w:left="709" w:hanging="294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 Geburtsbeendigung (z.B. Vakuum)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Interpretation von CTG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Therapie von Erkrankungen in der Geburtshilfe inkl. pathologischer Geburten und Risikogeburten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Kontrazeption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Kolposkopie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Perioperatives Management/Postoperatives Management bei gynäkologischen Operationen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Untersuchungen (Spiegeleinstellung, Abstrichentnahme, vaginale, rektale und abdominale Palpationsuntersuchung)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Beurteilung eines Nativpräparates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Mammalymphknoten/Lymphknoten Palpation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Untersuchungsablauf nach Vergewaltigung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Schriftliche Zusammenfassung, Dokumentation und Bewertung von Krankheitsverläufen sowie der sich daraus ergebenden Prognosen (Fähigkeit zur Erstellung von Attesten, Zeugnissen, etc.)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Geburtshilfe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Nachgeburtliche Operationen (Zervix-/höhergradiger Damm-, Vaginalriss, manuelle Plazentalösung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35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Kaiserschnitt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Laparoskopie und kleinere laparoskopische Eingriffe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Hysteroskopie und hysteroskopische Operationen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Größere laparoskopische Operationen und Laparotomien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Vaginale Operationen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der Zervix, Vagina, Vulva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bei Descensus, Harninkontinenz (1. Assistenzen und angeleitete Operationen)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37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Curettagen (inkl. Abortuscurettagen)</w:t>
            </w:r>
          </w:p>
        </w:tc>
        <w:tc>
          <w:tcPr>
            <w:tcW w:w="1489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80</w:t>
            </w:r>
          </w:p>
        </w:tc>
      </w:tr>
    </w:tbl>
    <w:p w:rsidR="001B464E" w:rsidRPr="004879F6" w:rsidRDefault="001B464E" w:rsidP="001B464E">
      <w:pPr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  <w:lang w:val="de-DE"/>
        </w:rPr>
      </w:pPr>
    </w:p>
    <w:p w:rsidR="001B464E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464E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464E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Sonderfach Schwerpunktausbildung (27 Monate) 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1B464E" w:rsidRPr="004879F6" w:rsidRDefault="001B464E" w:rsidP="001B464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1: Endokrinologie und Reproduktionsmedizin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Physiologie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und Pathophysiologie der Ovarialfunktion und deren Differentialdiagnostik und Therapie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Ursachen der männlichen und weiblichen Sterilität und Subfertilität einschließlich Genetik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der assistierten Reproduktion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Ursachen wiederholter Fehlgeburten und der gestörten Frühschwangerschaft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Erkrankungen, die zu einer Einschränkung der Fertilität führen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Kinder- und Jugendgynäkologie, insbesondere bei endokrinen Störungen in dieser Lebensphase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Physiologie und Pathologie der Peri- und Postmenopause einschließlich der Hormonersatztherapie und der Prävention der Osteoporose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Interpretation von bildgebenden und nuklearmedizinischen Verfahren in der reproduktionsmedizinischen Diagnostik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Gesetzliche Bestimmungen in der Reproduktionsmedizin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Differentialdiagnose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gynäkologisch-endokrinologischer und reproduktionsmedizinisch relevanter </w:t>
            </w:r>
            <w:r w:rsidRPr="004879F6">
              <w:rPr>
                <w:rFonts w:ascii="Times New Roman" w:hAnsi="Times New Roman" w:cs="Times New Roman"/>
                <w:sz w:val="20"/>
              </w:rPr>
              <w:t>Erkrankungen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Bildgebende Verfahren: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4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Vaginal- und Abdominal-Sonographie des Uterus und der Ovarien bei der Diagnostik und beim Zyklusmonitoring, Ultraschall-Kontrastmitteluntersuchungen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der Komplikationen der Sterilitätsbehandlung, insbesondere der Überstimulation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von Laboruntersuchungen im Rahmen der endokrinen Diagnostik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Fertilitätsprotektion bei Tumor-Patientinnen und unter zytostatischer Therapie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Therapie des habituellen Abortes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der Kontrazeption und deren Nebenwirkungen und Kontraindikationen sowie deren Vermittlung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2: Fetomaternale Medizin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Rechtliche und ethische Grundlagen bei der Behandlungen in der Schwangerschaft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Psychologische Grundlagen für die Betreuung in der Schwangerschaft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Immunologische Erkrankungen, neurologische Erkrankungen, psychische und psychiatrische Komplikationen, Infektionskrankheiten, dermatologische Erkrankungen, maligne Erkrankungen und Substanzabhängigkeiten in der Schwangerschaft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Plazentastörungen (incret, percret)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Reanimation des Neugeborenen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Rhesusinkompatibilität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Schwangerschaftsbeendigung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Cerclage und Muttermundverschluss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Chirurgische Techniken der peripartalen Blutstillung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Ersttrimester-Screening SSW – 11-14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Organscreening SSW – 20-23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Doppler-Untersuchung der klinisch relevanten fetalen und maternalen Gefäße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Amniozentese, Chorion und Plazentapunktion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Assoziierte syndromhafte und chromosomale Auffälligkeiten und entsprechende Beratung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eines Aufklärungsgespräches nach Diagnose von fetaler Fehlbildung oder Chromosomenstörung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Erfahrung im Management von Mehrlingsschwangerschaften, im Besonderen bei höhergradigen Mehrlingsschwangerschaften, FFTS, extremer Wachstumsdiskrepanz, TRAP-Sequenz und Diskordanz von Fehlbildungen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Behandlung bei Bluthochdruck, Diabetes mellitus, Erkrankung der Nieren und des harnableitenden Systems, Erkrankung des Herz-Kreislaufsystems, Erkrankungen der Leber und der Gallenwege, Endokrine Erkrankungen, Gastrointestinale Erkrankungen, Pulmonale Erkrankungen im Rahmen der Gravidität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Geburtsmanagement einschließlich  Risikogeburten, postpartale Blutungen und Fehlgeburten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Cardiotokographie (CTG)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Fulminant verlaufende präeklamptische Krankheitsbilder einschließlich HELLP-Syndrom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Akuttokolyse – intrauterine Reanimation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Behandlung von Notfällen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Blutungen in der Schwangerschaft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Management der extrauterinen Gravidität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Sectio caesarea – transversale und longitudinale Schnittführung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Vaginal operative Entbindungsmethoden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Tubenligatur post partum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Fetale Ultraschalluntersuchungstechniken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Modul 3: Gynäkologische Onkologie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Epidemiologie und Ätiologie gynäko-onkologischer und senologischer Tumore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Genetische Grundlagen (insbesondere familiäres Brust- und Eierstockkrebssyndrom)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Psychoonkologische Grundlagen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Ethische und rechtliche Grundlagen der gynäkologisch onkologischen Aufklärung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Behandlung gynäkologischer Tumoren mit fachspezifischen onkologischen chirurgischen und konservativen Verfahren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Beurteilung und Prognose potentieller Risikofaktoren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Operatives Staging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Plastisch-rekonstruktive Eingriffe an der Vulva und an der Brust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Rehabilitation und Physiotherapie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und Nuklearmedizinerinnen und Nuklearmedizinern erhobenen Bilder und Befunde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Core-Biopsie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zytologisch histologischer Befunde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Interdisziplinäre Indikationsstellung zur Radiotherapie und Management von Nebenwirkungen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Erkennen von Symptomen, Diagnose und Differentialdiagnose gynäko-onkologischer und senologischer Tumore inkl. Stadieneinteilung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Gynäkologische Untersuchungstechniken, Brustpalpation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Vaginal-Sonographie und Abdominal-Sonographie gynäko-onkologischer und senologischer Tumoren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Allfällige fachspezifische zytostatische, immunmodulatorische, supportive und palliative Behandlungszyklen und nachfolgende Überwachung und Beherrschung der Komplikationen nach interdisziplinärer Indikationsstellung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Prinzipien der Tumornachsorge gynäko-onkologischer Tumoren inkl. Brustkrebs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rPr>
          <w:trHeight w:val="364"/>
        </w:trPr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  <w:vAlign w:val="center"/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von Mammatumoren unklarer Dignität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Operationen bei onkologischen Krankheitsbildern insgesamt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40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2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 der Mamma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2"/>
              </w:numPr>
              <w:spacing w:after="0" w:line="240" w:lineRule="auto"/>
              <w:ind w:left="851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bei weiteren gynäkologischen Malignomen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4: Urogynäkologie und rekonstruktive Beckenbodenchirurgie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Topographische Anatomie des kleinen Beckens und des Beckenbodens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Physiologie der Harnspeicherung und Miktion, der analen Funktion und Dysfunktion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Harn- und Stuhlinkontinenz sowie des Descensus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Arten von sexueller Dysfunktion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Wertigkeit von Bildgebung bei Beckenbodendysfunktion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Neurologische Krankheitsbilder und ihre Auswirkungen auf den unteren Harntrakt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Nebenwirkungen für den Harntrakt von gängigen Medikamentengruppen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Fehlbildungen des Harntrakts 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und therapeutische Verfahren des Beckenschmerzes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Erfahrungen der gängigen Therapiemöglichkeiten der überaktiven Blase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8082"/>
        <w:gridCol w:w="1444"/>
      </w:tblGrid>
      <w:tr w:rsidR="001B464E" w:rsidRPr="004879F6" w:rsidTr="00AF5AEF">
        <w:tc>
          <w:tcPr>
            <w:tcW w:w="7938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Therapie der Harninkontinenz, der postpartalen Analinkontinenz und des Beckenbodens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75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einer Zystoskopie im Rahmen vor, während und nach fachspezifischer Interventionen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Anleitung zur Physiotherapie, zum Blasentraining  und Verlaufskontrolle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 und Therapie chronischer und rezidivierender Infekte des unteren Harntrakts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Operationen bei Descensus und Harninkontinenz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urogynäkologischer Sonographie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</w:tbl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trike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Modul 5: Ambulante Gynäkologie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Pathogenese und Symptomatologie gutartiger und bösartiger Erkrankungen in der Gynäkologie inkl. der Harninkontinenz, der Brust und des Knochens in Hinblick auf Osteoporose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Epidemiologie, Ätiologie, Pathogenese und Symptomatologie von normalen und pathologischen Schwangerschaftsverläufen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Endokrine Systeme, Interpretation von gynäko-endokrinen Befunden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Methoden, Indikationen und Kontraindikationen der Kontrazeption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Basisdiagnostik der Infertilität und Beratung bzgl. weiterführender Methoden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von Jugendlichen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Beratung über Möglichkeit und Konsequenzen des Ersttrimester-Screenings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einer Risikoschwangerschaft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Erkennen von psychosomatischen Störungen in Schwangerschaft und Wochenbett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bei Schwangerschaftskonflikten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über die Methoden einer Schwangerschaftsbeendigung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und apparative Untersuchungsmethoden, insbesondere Spiegeleinstellung, Ultraschall und Kolposkopie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Abnahme von Abstrichen bei infektiösen Erkrankungen sowie des zytologischen Abstrichs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bzgl. Therapie bei Erkrankungen der Vulva, Vagina, Uterus, Adnexen und der Mamma sowie Durchführung von Impfungen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Familienplanung sowie hormonelle, chemische, mechanische und operative Kontrazeption 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Onkologische Nachsorge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Feststellung einer Schwangerschaft, Erkennung und Behandlung von Schwangerschaftserkrankungen, Risikoschwangerschaften unter besonderer Berücksichtigung der Mutter-Kind-Pass-Untersuchung und Wochenbettbetreuung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Untersuchung und Beratung in der Peri- und Menopause und im Senium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1B464E" w:rsidRPr="004879F6" w:rsidTr="00AF5AEF">
        <w:tc>
          <w:tcPr>
            <w:tcW w:w="793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Beratung und interdisziplinäre Therapie bei Patientinnen mit Osteopenie/Osteoporose</w:t>
            </w:r>
          </w:p>
        </w:tc>
        <w:tc>
          <w:tcPr>
            <w:tcW w:w="1418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 w:cs="Times New Roman"/>
          <w:b/>
          <w:sz w:val="20"/>
          <w:szCs w:val="20"/>
        </w:rPr>
      </w:pPr>
    </w:p>
    <w:p w:rsidR="001B464E" w:rsidRPr="004879F6" w:rsidRDefault="001B464E" w:rsidP="001B464E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</w:p>
    <w:p w:rsidR="001B464E" w:rsidRPr="004879F6" w:rsidRDefault="001B464E" w:rsidP="001B464E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lastRenderedPageBreak/>
        <w:t xml:space="preserve">Modul 6: Operative Gynäkologie </w:t>
      </w:r>
    </w:p>
    <w:p w:rsidR="001B464E" w:rsidRPr="004879F6" w:rsidRDefault="001B464E" w:rsidP="001B464E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Ätiologie, Pathogenese, Pathophysiologie, Symptomatologie seltenerer und/oder komplexer benigner gynäkologischer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Klinische, apparative operative und invasive Untersuchungsmethoden seltenerer und/oder komplexer benigner gynäkologischer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Patientinnen nach komplizierteren gynäkologischen Eingriffen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Methoden in der fachspezifischen postoperativen Rehabilitation bei komplexen gynäkologischen Erkrankungen bzw. bei gynäkologischen Patientinnen mit schwerwiegenden Grunderkrankungen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Diagnostik, Beratung und Behandlung  psychosomatischer, psychosozialer und psychosexueller Störungen jeden Frauenalters sowie Geriatrie bei komplexen und/oder selteneren benignen gynäkologischen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Grundlagen der multidisziplinären Koordination und Kooperation, insbesondere Orientierung über soziale Einrichtungen, Institutionen und Möglichkeiten der Rehabilitation bei komplexen oder seltenen benignen gynäkologischen Krankheitsbildern </w:t>
            </w:r>
          </w:p>
        </w:tc>
      </w:tr>
    </w:tbl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26"/>
      </w:tblGrid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Diagnostik und Differentialdiagnostik gutartiger und bösartiger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Information und Kommunikation mit Patientinnen und Angehörigen über Vorbereitung, Indikation, Durchführung und Risiken von Untersuchungen und Behandlungen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Behandlung prä- und postoperativer Komplikationen und perioperative Therapie komplexer und/oder seltenerer benigner gynäkologischer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 konservativer und operativer gynäkologischer Behandlungsmethoden inkl. Behandlungsmethoden benigner und prämaligner gynäkologischer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Indikationsstellung, Durchführung fachspezifischer, medikamentöser und operativer Behandlungsmethoden von benignen gynäkologischen Erkrankungen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Interdisziplinäre Betreuung von Patientinnen mit  komplizierten, rezidivierenden infektiösen Erkrankungen und deren  Bedeutung, Diagnostik und Therapie von komplizierten Infektionen bei der gynäkologischen Patientin </w:t>
            </w:r>
          </w:p>
        </w:tc>
      </w:tr>
      <w:tr w:rsidR="001B464E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</w:t>
            </w:r>
            <w:r w:rsidRPr="004879F6">
              <w:rPr>
                <w:rFonts w:ascii="Times New Roman" w:hAnsi="Times New Roman" w:cs="Times New Roman"/>
                <w:sz w:val="20"/>
                <w:szCs w:val="20"/>
              </w:rPr>
              <w:t xml:space="preserve"> von Patientinnen mit chronischen Schmerzen im Bereich des Genitales</w:t>
            </w:r>
          </w:p>
        </w:tc>
      </w:tr>
    </w:tbl>
    <w:p w:rsidR="001B464E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p w:rsidR="001B464E" w:rsidRDefault="001B464E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br w:type="page"/>
      </w:r>
    </w:p>
    <w:p w:rsidR="001B464E" w:rsidRPr="004879F6" w:rsidRDefault="001B464E" w:rsidP="001B464E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1"/>
        <w:gridCol w:w="1445"/>
      </w:tblGrid>
      <w:tr w:rsidR="001B464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 xml:space="preserve">Richtzahl </w:t>
            </w:r>
          </w:p>
        </w:tc>
      </w:tr>
      <w:tr w:rsidR="001B464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Akutmedizinische Behandlung intraabdomineller Blutungen bei gynäkologischer Ursache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Durchführung, Befundung und Dokumentation fachspezifischer sonographischer Untersuchungen in der Gynäkologie, inklusive dopplersonographischer Technik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Patientinnen mit gynäkologischer Erkrankung und vor bestehender allgemeinen Erkrankungen wie z.B. bei Patientinnen mit Immunsuppression, nach Transplantation, HIV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1B464E" w:rsidRPr="004879F6" w:rsidTr="00AF5AEF">
        <w:tc>
          <w:tcPr>
            <w:tcW w:w="8081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Perioperatives Management und postoperatives Management gynäkologischer Krankheitsbilder</w:t>
            </w:r>
          </w:p>
        </w:tc>
        <w:tc>
          <w:tcPr>
            <w:tcW w:w="1445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Diagnostische Laparoskopie (inkl. Sterilisation)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Laparoskopische Eingriffe (Ovarialcyste, Myome, voroperierte Patientinnen, komplexe Endometriosezustände)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Hysteroskopische Operationen (Septumresektion, komplizierte Resektionen von Myomen etc.)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Laparotomie oder größere laparoskopische Operationen bei komplizierten, insbesondere mehrfach voroperierten Patientinnen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(- abdominale oder laparoskopische Hysterektomien)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Vaginale Operationen, insbesondere bei voroperierten Patientinnen</w:t>
            </w:r>
            <w:r w:rsidRPr="004879F6">
              <w:rPr>
                <w:rFonts w:ascii="Times New Roman" w:hAnsi="Times New Roman" w:cs="Times New Roman"/>
                <w:sz w:val="20"/>
              </w:rPr>
              <w:br/>
              <w:t>(vaginale oder laparoskopisch assistierte Hysterektomien)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1B464E" w:rsidRPr="004879F6" w:rsidTr="00AF5AEF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1B464E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Eingriffe an der Zervix, Vagina, Vulva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1B464E" w:rsidRPr="004879F6" w:rsidRDefault="001B464E" w:rsidP="00AF5A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</w:tbl>
    <w:p w:rsidR="001B464E" w:rsidRPr="004879F6" w:rsidRDefault="001B464E" w:rsidP="001B464E">
      <w:pPr>
        <w:spacing w:after="0"/>
        <w:ind w:left="360"/>
        <w:rPr>
          <w:rFonts w:ascii="Times New Roman" w:hAnsi="Times New Roman" w:cs="Times New Roman"/>
          <w:sz w:val="20"/>
        </w:rPr>
      </w:pPr>
    </w:p>
    <w:p w:rsidR="0091326B" w:rsidRDefault="0091326B" w:rsidP="001B464E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64E" w:rsidRDefault="001B464E" w:rsidP="001B464E">
      <w:pPr>
        <w:spacing w:after="0" w:line="240" w:lineRule="auto"/>
      </w:pPr>
      <w:r>
        <w:separator/>
      </w:r>
    </w:p>
  </w:endnote>
  <w:endnote w:type="continuationSeparator" w:id="0">
    <w:p w:rsidR="001B464E" w:rsidRDefault="001B464E" w:rsidP="001B46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4E" w:rsidRPr="001B464E" w:rsidRDefault="00404D85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</w:t>
    </w:r>
    <w:r w:rsidR="001B464E" w:rsidRPr="001B464E">
      <w:rPr>
        <w:rFonts w:ascii="Times New Roman" w:hAnsi="Times New Roman" w:cs="Times New Roman"/>
        <w:sz w:val="18"/>
        <w:szCs w:val="18"/>
      </w:rPr>
      <w:t>3. Nov</w:t>
    </w:r>
    <w:r>
      <w:rPr>
        <w:rFonts w:ascii="Times New Roman" w:hAnsi="Times New Roman" w:cs="Times New Roman"/>
        <w:sz w:val="18"/>
        <w:szCs w:val="18"/>
      </w:rPr>
      <w:t>. KEF u RZ-V</w:t>
    </w:r>
    <w:r w:rsidR="001B464E" w:rsidRPr="001B464E">
      <w:rPr>
        <w:rFonts w:ascii="Times New Roman" w:hAnsi="Times New Roman" w:cs="Times New Roman"/>
        <w:sz w:val="18"/>
        <w:szCs w:val="18"/>
      </w:rPr>
      <w:t xml:space="preserve"> 2015, </w:t>
    </w:r>
    <w:r w:rsidR="007B3CE6">
      <w:rPr>
        <w:rFonts w:ascii="Times New Roman" w:hAnsi="Times New Roman" w:cs="Times New Roman"/>
        <w:sz w:val="18"/>
        <w:szCs w:val="18"/>
      </w:rPr>
      <w:t>Version 1.3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1B464E" w:rsidRPr="001B464E">
      <w:rPr>
        <w:rFonts w:ascii="Times New Roman" w:hAnsi="Times New Roman" w:cs="Times New Roman"/>
        <w:sz w:val="18"/>
        <w:szCs w:val="18"/>
      </w:rPr>
      <w:t>Ausbildungsbeginn</w:t>
    </w:r>
    <w:r>
      <w:rPr>
        <w:rFonts w:ascii="Times New Roman" w:hAnsi="Times New Roman" w:cs="Times New Roman"/>
        <w:sz w:val="18"/>
        <w:szCs w:val="18"/>
      </w:rPr>
      <w:t xml:space="preserve"> ab </w:t>
    </w:r>
    <w:r w:rsidR="001B464E" w:rsidRPr="001B464E">
      <w:rPr>
        <w:rFonts w:ascii="Times New Roman" w:hAnsi="Times New Roman" w:cs="Times New Roman"/>
        <w:sz w:val="18"/>
        <w:szCs w:val="18"/>
      </w:rPr>
      <w:t xml:space="preserve"> 01.01.2020</w:t>
    </w:r>
    <w:r w:rsidR="001B464E" w:rsidRPr="001B464E">
      <w:rPr>
        <w:rFonts w:ascii="Times New Roman" w:hAnsi="Times New Roman" w:cs="Times New Roman"/>
        <w:sz w:val="18"/>
        <w:szCs w:val="18"/>
      </w:rPr>
      <w:tab/>
    </w:r>
    <w:r w:rsidR="001B464E" w:rsidRPr="001B464E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begin"/>
    </w:r>
    <w:r w:rsidR="001B464E" w:rsidRPr="001B464E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separate"/>
    </w:r>
    <w:r w:rsidR="007B3CE6" w:rsidRPr="007B3CE6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end"/>
    </w:r>
    <w:r w:rsidR="001B464E" w:rsidRPr="001B464E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begin"/>
    </w:r>
    <w:r w:rsidR="001B464E" w:rsidRPr="001B464E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separate"/>
    </w:r>
    <w:r w:rsidR="007B3CE6" w:rsidRPr="007B3CE6">
      <w:rPr>
        <w:rFonts w:ascii="Times New Roman" w:hAnsi="Times New Roman" w:cs="Times New Roman"/>
        <w:bCs/>
        <w:noProof/>
        <w:sz w:val="18"/>
        <w:szCs w:val="18"/>
        <w:lang w:val="de-DE"/>
      </w:rPr>
      <w:t>10</w:t>
    </w:r>
    <w:r w:rsidR="001B464E" w:rsidRPr="001B464E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64E" w:rsidRDefault="001B464E" w:rsidP="001B464E">
      <w:pPr>
        <w:spacing w:after="0" w:line="240" w:lineRule="auto"/>
      </w:pPr>
      <w:r>
        <w:separator/>
      </w:r>
    </w:p>
  </w:footnote>
  <w:footnote w:type="continuationSeparator" w:id="0">
    <w:p w:rsidR="001B464E" w:rsidRDefault="001B464E" w:rsidP="001B46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556"/>
    <w:multiLevelType w:val="hybridMultilevel"/>
    <w:tmpl w:val="E2AEDE9E"/>
    <w:lvl w:ilvl="0" w:tplc="3A9A7D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532C6"/>
    <w:multiLevelType w:val="hybridMultilevel"/>
    <w:tmpl w:val="430C87B8"/>
    <w:lvl w:ilvl="0" w:tplc="7FD0B9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D6D2D"/>
    <w:multiLevelType w:val="hybridMultilevel"/>
    <w:tmpl w:val="40FA4948"/>
    <w:lvl w:ilvl="0" w:tplc="0268A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F1ED6"/>
    <w:multiLevelType w:val="hybridMultilevel"/>
    <w:tmpl w:val="7C38EB58"/>
    <w:lvl w:ilvl="0" w:tplc="4BBA74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64988"/>
    <w:multiLevelType w:val="hybridMultilevel"/>
    <w:tmpl w:val="59626C70"/>
    <w:lvl w:ilvl="0" w:tplc="3D9A8E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02D07"/>
    <w:multiLevelType w:val="hybridMultilevel"/>
    <w:tmpl w:val="44E0951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CF1D9D"/>
    <w:multiLevelType w:val="hybridMultilevel"/>
    <w:tmpl w:val="6E76324E"/>
    <w:lvl w:ilvl="0" w:tplc="14BE0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27281"/>
    <w:multiLevelType w:val="hybridMultilevel"/>
    <w:tmpl w:val="01EC0DD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B1B80"/>
    <w:multiLevelType w:val="hybridMultilevel"/>
    <w:tmpl w:val="5F76A454"/>
    <w:lvl w:ilvl="0" w:tplc="BA46B1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B18FC"/>
    <w:multiLevelType w:val="hybridMultilevel"/>
    <w:tmpl w:val="5D0AD1A4"/>
    <w:lvl w:ilvl="0" w:tplc="0C07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10" w15:restartNumberingAfterBreak="0">
    <w:nsid w:val="441D4A09"/>
    <w:multiLevelType w:val="hybridMultilevel"/>
    <w:tmpl w:val="127C7362"/>
    <w:lvl w:ilvl="0" w:tplc="FD0EBD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2E16D8"/>
    <w:multiLevelType w:val="hybridMultilevel"/>
    <w:tmpl w:val="1D4AE142"/>
    <w:lvl w:ilvl="0" w:tplc="D4CC34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E4235"/>
    <w:multiLevelType w:val="hybridMultilevel"/>
    <w:tmpl w:val="80D6181C"/>
    <w:lvl w:ilvl="0" w:tplc="A2FC3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3904A7"/>
    <w:multiLevelType w:val="hybridMultilevel"/>
    <w:tmpl w:val="523C2CF2"/>
    <w:lvl w:ilvl="0" w:tplc="4B3A3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435DB"/>
    <w:multiLevelType w:val="hybridMultilevel"/>
    <w:tmpl w:val="C4A45100"/>
    <w:lvl w:ilvl="0" w:tplc="8544E1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13DEB"/>
    <w:multiLevelType w:val="hybridMultilevel"/>
    <w:tmpl w:val="4920A30E"/>
    <w:lvl w:ilvl="0" w:tplc="75B07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83F08"/>
    <w:multiLevelType w:val="hybridMultilevel"/>
    <w:tmpl w:val="A64E9E06"/>
    <w:lvl w:ilvl="0" w:tplc="9258C6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4A19B0"/>
    <w:multiLevelType w:val="hybridMultilevel"/>
    <w:tmpl w:val="70141922"/>
    <w:lvl w:ilvl="0" w:tplc="59125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726A49"/>
    <w:multiLevelType w:val="hybridMultilevel"/>
    <w:tmpl w:val="A07C56F4"/>
    <w:lvl w:ilvl="0" w:tplc="B98263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711B50"/>
    <w:multiLevelType w:val="hybridMultilevel"/>
    <w:tmpl w:val="284A2314"/>
    <w:lvl w:ilvl="0" w:tplc="117AC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C7B41"/>
    <w:multiLevelType w:val="hybridMultilevel"/>
    <w:tmpl w:val="A3E62946"/>
    <w:lvl w:ilvl="0" w:tplc="F188A8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A850D8"/>
    <w:multiLevelType w:val="hybridMultilevel"/>
    <w:tmpl w:val="7B420422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70CF0DF0"/>
    <w:multiLevelType w:val="hybridMultilevel"/>
    <w:tmpl w:val="BBE244B0"/>
    <w:lvl w:ilvl="0" w:tplc="CB2028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B6BAD"/>
    <w:multiLevelType w:val="hybridMultilevel"/>
    <w:tmpl w:val="3BBAA352"/>
    <w:lvl w:ilvl="0" w:tplc="F604C2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9"/>
  </w:num>
  <w:num w:numId="4">
    <w:abstractNumId w:val="18"/>
  </w:num>
  <w:num w:numId="5">
    <w:abstractNumId w:val="20"/>
  </w:num>
  <w:num w:numId="6">
    <w:abstractNumId w:val="16"/>
  </w:num>
  <w:num w:numId="7">
    <w:abstractNumId w:val="3"/>
  </w:num>
  <w:num w:numId="8">
    <w:abstractNumId w:val="22"/>
  </w:num>
  <w:num w:numId="9">
    <w:abstractNumId w:val="17"/>
  </w:num>
  <w:num w:numId="10">
    <w:abstractNumId w:val="0"/>
  </w:num>
  <w:num w:numId="11">
    <w:abstractNumId w:val="14"/>
  </w:num>
  <w:num w:numId="12">
    <w:abstractNumId w:val="11"/>
  </w:num>
  <w:num w:numId="13">
    <w:abstractNumId w:val="1"/>
  </w:num>
  <w:num w:numId="14">
    <w:abstractNumId w:val="13"/>
  </w:num>
  <w:num w:numId="15">
    <w:abstractNumId w:val="8"/>
  </w:num>
  <w:num w:numId="16">
    <w:abstractNumId w:val="23"/>
  </w:num>
  <w:num w:numId="17">
    <w:abstractNumId w:val="12"/>
  </w:num>
  <w:num w:numId="18">
    <w:abstractNumId w:val="4"/>
  </w:num>
  <w:num w:numId="19">
    <w:abstractNumId w:val="15"/>
  </w:num>
  <w:num w:numId="20">
    <w:abstractNumId w:val="10"/>
  </w:num>
  <w:num w:numId="21">
    <w:abstractNumId w:val="2"/>
  </w:num>
  <w:num w:numId="22">
    <w:abstractNumId w:val="7"/>
  </w:num>
  <w:num w:numId="23">
    <w:abstractNumId w:val="9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4E"/>
    <w:rsid w:val="001B464E"/>
    <w:rsid w:val="00404D85"/>
    <w:rsid w:val="007B3CE6"/>
    <w:rsid w:val="0091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43168"/>
  <w15:chartTrackingRefBased/>
  <w15:docId w15:val="{A1A95327-97F6-4084-9DA9-53D0DB0D1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B464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B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B464E"/>
  </w:style>
  <w:style w:type="paragraph" w:styleId="Fuzeile">
    <w:name w:val="footer"/>
    <w:basedOn w:val="Standard"/>
    <w:link w:val="FuzeileZchn"/>
    <w:uiPriority w:val="99"/>
    <w:unhideWhenUsed/>
    <w:rsid w:val="001B46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B46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2526</Words>
  <Characters>15921</Characters>
  <Application>Microsoft Office Word</Application>
  <DocSecurity>0</DocSecurity>
  <Lines>132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2020-01-21T07:45:00Z</dcterms:created>
  <dcterms:modified xsi:type="dcterms:W3CDTF">2020-03-30T11:16:00Z</dcterms:modified>
</cp:coreProperties>
</file>