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7C5" w:rsidRPr="004879F6" w:rsidRDefault="00C917C5" w:rsidP="00C917C5">
      <w:pPr>
        <w:keepNext/>
        <w:spacing w:before="160" w:after="0" w:line="220" w:lineRule="exact"/>
        <w:ind w:firstLine="397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12.2</w:t>
      </w:r>
    </w:p>
    <w:p w:rsidR="00C917C5" w:rsidRPr="004879F6" w:rsidRDefault="00C917C5" w:rsidP="00C917C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Ausbildungsinhalte </w:t>
      </w:r>
    </w:p>
    <w:p w:rsidR="00C917C5" w:rsidRPr="004879F6" w:rsidRDefault="00C917C5" w:rsidP="00C917C5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Innere Medizin und Angiologie</w:t>
      </w:r>
    </w:p>
    <w:p w:rsidR="00C917C5" w:rsidRPr="004879F6" w:rsidRDefault="00C917C5" w:rsidP="00C917C5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917C5" w:rsidRPr="004879F6" w:rsidRDefault="00C917C5" w:rsidP="00C917C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Sonderfach Grundausbildung (27 Monate) </w:t>
      </w:r>
    </w:p>
    <w:p w:rsidR="00C917C5" w:rsidRPr="004879F6" w:rsidRDefault="00C917C5" w:rsidP="00C917C5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lang w:eastAsia="de-AT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Immunologie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 xml:space="preserve">Humangenetik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Nuklearmedizin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Strahlenschutz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Transplantationsnachsorge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Densitometrie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>Interventionelle Techniken und Angiographien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  <w:lang w:val="en-US"/>
              </w:rPr>
              <w:t xml:space="preserve">Psychosomatische Medizin 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Vorsorgemedizin, Impfwesen und gesundheitliche Aufklärung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Maßnahmen zur Patientinnen-und Patientensicherheit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Betreuung von Menschen mit besonderen Bedürfnissen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Palliativmedizin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Geriatrie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Gesundheitsökonomische Auswirkungen ärztlichen Handelns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C917C5" w:rsidRDefault="00C917C5" w:rsidP="00C917C5">
      <w:pPr>
        <w:spacing w:after="0"/>
        <w:rPr>
          <w:rFonts w:ascii="Times New Roman" w:hAnsi="Times New Roman" w:cs="Times New Roman"/>
          <w:sz w:val="20"/>
        </w:rPr>
      </w:pPr>
    </w:p>
    <w:p w:rsidR="00C917C5" w:rsidRDefault="00C917C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  <w:bookmarkStart w:id="0" w:name="_GoBack"/>
      <w:bookmarkEnd w:id="0"/>
    </w:p>
    <w:p w:rsidR="00C917C5" w:rsidRPr="004879F6" w:rsidRDefault="00C917C5" w:rsidP="00C917C5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Innere </w:t>
            </w:r>
            <w:r w:rsidRPr="004879F6">
              <w:rPr>
                <w:rFonts w:ascii="Times New Roman" w:hAnsi="Times New Roman" w:cs="Times New Roman"/>
                <w:sz w:val="20"/>
              </w:rPr>
              <w:t>Medizin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besonderer Berücksichtigung von Ätiologie, Symptomatologie, </w:t>
            </w:r>
            <w:r w:rsidRPr="004879F6">
              <w:rPr>
                <w:rFonts w:ascii="Times New Roman" w:hAnsi="Times New Roman" w:cs="Times New Roman"/>
                <w:sz w:val="20"/>
              </w:rPr>
              <w:t>Anamneseerhebung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und </w:t>
            </w:r>
            <w:r w:rsidRPr="004879F6">
              <w:rPr>
                <w:rFonts w:ascii="Times New Roman" w:hAnsi="Times New Roman" w:cs="Times New Roman"/>
                <w:sz w:val="20"/>
              </w:rPr>
              <w:t>Exploration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, Diagnostik und Differentialdiagnostik innerer Erkrankungen sowie Anatomie, Physiologie, Pathologie, Pathophysiologie, Pharmakologie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Grundlegenden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Stoffwechselerkrankungen, inkl. Durchführung und Dokumentation von Diabetikerinnen- und Diabetikerbehandlungen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C917C5" w:rsidRPr="004879F6" w:rsidRDefault="00C917C5" w:rsidP="00C917C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Rheumatologie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psychosomatische Medizin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Internistisch präoperative Beurteilung 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hereditärer Krankheitsbilder einschließlich der Indikationsstellung für eine humangenetische Beratung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Suchterkrankungen und deren interdisziplinäre Betreuung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Ernährungsbedingte Gesundheitsstörungen einschließlich diätetischer Beratung, Beratung und Schulung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Erkennung und Behandlung akuter Notfälle einschließlich lebensrettender Maßnahmen zur Aufrechterhaltung von Vitalfunktionen und Wiederbelebung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und Angehörigen über Vorbereitung, Indikation, Durchführung und Risiken von Untersuchungen und Behandlungen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mit inneren Erkrankungen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C917C5" w:rsidRPr="004879F6" w:rsidTr="00AF5AEF">
        <w:tc>
          <w:tcPr>
            <w:tcW w:w="935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</w:tr>
    </w:tbl>
    <w:p w:rsidR="00C917C5" w:rsidRDefault="00C917C5" w:rsidP="00C917C5">
      <w:pPr>
        <w:spacing w:after="0"/>
        <w:rPr>
          <w:rFonts w:ascii="Times New Roman" w:hAnsi="Times New Roman" w:cs="Times New Roman"/>
          <w:sz w:val="20"/>
        </w:rPr>
      </w:pPr>
    </w:p>
    <w:p w:rsidR="00C917C5" w:rsidRDefault="00C917C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p w:rsidR="00C917C5" w:rsidRPr="004879F6" w:rsidRDefault="00C917C5" w:rsidP="00C917C5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Behandlung von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mit internistischen Erkrankungen mit besonderer Berücksichtigung </w:t>
            </w:r>
            <w:r w:rsidRPr="004879F6">
              <w:rPr>
                <w:rFonts w:ascii="Times New Roman" w:hAnsi="Times New Roman" w:cs="Times New Roman"/>
                <w:sz w:val="20"/>
              </w:rPr>
              <w:t>von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Ätiologie, Symptomatologie, Anamneseerhebung und Exploration, Diagnostik und Differentialdiagnostik innerer Erkrankungen sowie von Anatomie, Physiologie, Pathologie, Pathophysiologie, Pharmakologie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Grundlegenden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Fertigkeiten in den Kernfächern: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Diabetikerinnen-und Diabetikerbehandlungen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C917C5" w:rsidRPr="004879F6" w:rsidRDefault="00C917C5" w:rsidP="00C917C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Pharmakologie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Geriatrie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psychosomatische Medizin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Laboruntersuchungen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Internistisch präoperative Beurteilung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und Angehörigen über Vorbereitung, Indikation, Durchführung und Risiken von Untersuchungen und Behandlungen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Zusammenarbeit bei multimorbiden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mit inneren Erkrankungen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EKG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LZ-RR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Abdomensonographie, einschließlich Nieren-Retroperitoneum und Urogenitalorgane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 xml:space="preserve">Therapie vital bedrohlicher Zustände, Aufrechterhaltung und Wiederherstellung inkl. Notfall und Intensivmedizin, Beatmung, Entwöhnung, nicht-invasive Beatmungstechniken, hämodynamisches Monitoring, Schockbehandlung, zentrale Zugänge, Defibrillation, PM-Behandlung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Echokardiographie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Spirometrie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Ergometrie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Infusions-, Transfusions- und Blutersatztherapie, enterale und parenterale Ernährung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917C5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Durchführung von Punktionen oder Stanzen von z.B. Blase, Pleura, Bauchhöhle, Liquor, Leber oder Knochenmark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:rsidR="00C917C5" w:rsidRPr="004879F6" w:rsidRDefault="00C917C5" w:rsidP="00C917C5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C917C5" w:rsidRPr="004879F6" w:rsidRDefault="00C917C5" w:rsidP="00C917C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(36 Monate)</w:t>
      </w:r>
    </w:p>
    <w:p w:rsidR="00C917C5" w:rsidRPr="004879F6" w:rsidRDefault="00C917C5" w:rsidP="00C917C5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Anatomische und physiologische Grundlagen der Gefäßsysteme (Arterien, Venen, Kapillaren, Lymphgefäße)</w:t>
            </w:r>
          </w:p>
        </w:tc>
      </w:tr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Ätiologie, Pathogenese und Pathophysiologie der organischen und funktionellen Gefäßerkrankungen einschließlich der entzündlichen und degenerativen Gefäßerkrankungen sowie der Gefäßmissbildungen und der venösen Thromboembolien</w:t>
            </w:r>
          </w:p>
        </w:tc>
      </w:tr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 und Risikofaktoren von Gefäßerkrankungen und venösen Thromboembolien inkl. Thrombophilien</w:t>
            </w:r>
          </w:p>
        </w:tc>
      </w:tr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Kapillarmikroskopie</w:t>
            </w:r>
          </w:p>
        </w:tc>
      </w:tr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Komplikationsmöglichkeiten diagnostischer und therapeutischer Verfahren in der Gefäßmedizin einschließlich kontrastmittelbedingter Reaktionen</w:t>
            </w:r>
          </w:p>
        </w:tc>
      </w:tr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Physiologische Grundlagen des Lipid- und Glukosestoffwechsels und des Blutgerinnungssystems</w:t>
            </w:r>
          </w:p>
        </w:tc>
      </w:tr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Antithrombotische Therapie (Thrombozytenfunktionshemmung und Antikoagulation)</w:t>
            </w:r>
          </w:p>
        </w:tc>
      </w:tr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Versorgung chronischer Wunden </w:t>
            </w:r>
          </w:p>
        </w:tc>
      </w:tr>
      <w:tr w:rsidR="00C917C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des Strahlenschutzes</w:t>
            </w:r>
          </w:p>
        </w:tc>
      </w:tr>
    </w:tbl>
    <w:p w:rsidR="00C917C5" w:rsidRPr="004879F6" w:rsidRDefault="00C917C5" w:rsidP="00C917C5">
      <w:pPr>
        <w:spacing w:after="0" w:line="240" w:lineRule="atLeast"/>
        <w:rPr>
          <w:rFonts w:ascii="Times New Roman" w:eastAsia="Arial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3"/>
        <w:gridCol w:w="1443"/>
      </w:tblGrid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Diagnose und relevante Differentialdiagnostik von Gefäßerkrankungen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Indikation und Interpretation von Laboruntersuchungen zur Diagnostik und Therapieüberwachung von Gefäßerkrankungen inkl. Vaskulitiden, venöse Thromboembolien inkl. Thrombophilien 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Indikation; Überwachung und Nachsorge invasiver Gefäßdiagnostik sowie fachspezifische Interpretation der von Radiologinnen und Radiologen erstellten Bilder und Befunde von Angiographien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Indikation, Überwachung, Nachsorge und Interpretation invasiver Gefäßdiagnostik (Angiographie) und endovaskulärer Rekanalisationsverfahren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für operative Eingriffe an den Gefäßen einschließlich der präoperativen Abklärung und postoperativen Nachbetreuung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Aufklärung der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vor diagnostischen und therapeutischen Eingriffen, Dokumentation diagnostischer und therapeutischer Maßnahmen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Medikamentöse Therapie von Gefäßerkrankungen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Antithrombotische Therapie (Thrombozytenfunktionshemmung und Antikoagulation)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Therapie von vaskulären Risikofaktoren inkl. Primär- und Sekundärprophylaxe, Nikotinentwöhnung und Rehabilitation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trike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 chronischer Wunden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Indikation, Planung und Durchführung physiotherapeutischer Maßnahmen bei Gefäßerkrankungen (inkl. Lymphgefäße)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Management von thrombophilen Situationen und postinterventionellen Blutungskomplikationen 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Kapillarmikroskopie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Umgang mit Risiken bei diagnostischen und therapeutischen Eingriffen, Behandlung therapiebezogener Nebenwirkungen und Komplikationen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Altersspezifische Diagnostik und Therapie bei Gefäßerkrankungen</w:t>
            </w:r>
          </w:p>
        </w:tc>
      </w:tr>
      <w:tr w:rsidR="00C917C5" w:rsidRPr="004879F6" w:rsidTr="00AF5AEF">
        <w:tc>
          <w:tcPr>
            <w:tcW w:w="9526" w:type="dxa"/>
            <w:gridSpan w:val="2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Default="00C917C5" w:rsidP="00C917C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Strahlenschutz bei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und Personal entsprechend den rechtlichen Vorschriften</w:t>
            </w:r>
          </w:p>
          <w:p w:rsidR="00C917C5" w:rsidRDefault="00C917C5" w:rsidP="00C917C5">
            <w:pPr>
              <w:spacing w:after="0" w:line="240" w:lineRule="auto"/>
              <w:ind w:left="425"/>
              <w:rPr>
                <w:rFonts w:ascii="Times New Roman" w:hAnsi="Times New Roman" w:cs="Times New Roman"/>
                <w:sz w:val="20"/>
              </w:rPr>
            </w:pPr>
          </w:p>
          <w:p w:rsidR="0097760A" w:rsidRDefault="0097760A" w:rsidP="00C917C5">
            <w:pPr>
              <w:spacing w:after="0" w:line="240" w:lineRule="auto"/>
              <w:ind w:left="425"/>
              <w:rPr>
                <w:rFonts w:ascii="Times New Roman" w:hAnsi="Times New Roman" w:cs="Times New Roman"/>
                <w:sz w:val="20"/>
              </w:rPr>
            </w:pPr>
          </w:p>
          <w:p w:rsidR="0097760A" w:rsidRPr="004879F6" w:rsidRDefault="0097760A" w:rsidP="00C917C5">
            <w:pPr>
              <w:spacing w:after="0" w:line="240" w:lineRule="auto"/>
              <w:ind w:left="425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Klinisch physikalische Untersuchung von 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mit Gefäßerkrankungen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Nichtinvasive Gefäßdiagnostik 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Kapillarmikroskopie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Antithrombotische Therapie (Thrombozytenfunktionshemmung und Antikoagulation)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und Beurteilung der direkten Blutdruckmessung im Arterien- und Venensystem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Kompressionstherapie und Bestrumpfung, konservative Behandlung der chronischen Veneninsuffizienz, der Varikophlebits sowie des primären, sekundären und lokalen Lymphödems inkl. der komplexen Entstauungstherapie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Endovaskuläre Verfahren an Arterien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75</w:t>
            </w: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Thrombosierung von Pseudoaneurysmata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 endoluminale chemische venöse Verfahren (z.B. Verödungstherapie)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75</w:t>
            </w: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 endoluminale thermische venöse Verfahren (z.B. endoluminale Lasertherapie)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75</w:t>
            </w: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trike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 chronischer Wunden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Duplexsonographie der peripheren Gefäße</w:t>
            </w:r>
          </w:p>
          <w:p w:rsidR="00C917C5" w:rsidRPr="004879F6" w:rsidRDefault="00C917C5" w:rsidP="00C917C5">
            <w:pPr>
              <w:numPr>
                <w:ilvl w:val="0"/>
                <w:numId w:val="7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Arterien</w:t>
            </w:r>
          </w:p>
          <w:p w:rsidR="00C917C5" w:rsidRPr="004879F6" w:rsidRDefault="00C917C5" w:rsidP="00C917C5">
            <w:pPr>
              <w:numPr>
                <w:ilvl w:val="0"/>
                <w:numId w:val="7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Venen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rPr>
                <w:rFonts w:ascii="Times New Roman" w:hAnsi="Times New Roman" w:cs="Times New Roman"/>
                <w:strike/>
                <w:sz w:val="20"/>
              </w:rPr>
            </w:pPr>
          </w:p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Duplexsonographie der extrakraniellen hirnversorgenden Gefäße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Duplexsonographie der abdominellen und retroperitonealen Gefäße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C917C5" w:rsidRPr="004879F6" w:rsidTr="00AF5AEF">
        <w:tc>
          <w:tcPr>
            <w:tcW w:w="808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C917C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Nicht chirurgische intravaskuläre Therapie von Gefäßkrankheiten </w:t>
            </w:r>
          </w:p>
        </w:tc>
        <w:tc>
          <w:tcPr>
            <w:tcW w:w="1443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C917C5" w:rsidRPr="004879F6" w:rsidRDefault="00C917C5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326B" w:rsidRDefault="0091326B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7C5" w:rsidRDefault="00C917C5" w:rsidP="00C917C5">
      <w:pPr>
        <w:spacing w:after="0" w:line="240" w:lineRule="auto"/>
      </w:pPr>
      <w:r>
        <w:separator/>
      </w:r>
    </w:p>
  </w:endnote>
  <w:endnote w:type="continuationSeparator" w:id="0">
    <w:p w:rsidR="00C917C5" w:rsidRDefault="00C917C5" w:rsidP="00C9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7C5" w:rsidRPr="00C917C5" w:rsidRDefault="00DA5283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ÄAO 2015, 3. No</w:t>
    </w:r>
    <w:r w:rsidR="00D24C03">
      <w:rPr>
        <w:rFonts w:ascii="Times New Roman" w:hAnsi="Times New Roman" w:cs="Times New Roman"/>
        <w:sz w:val="18"/>
        <w:szCs w:val="18"/>
      </w:rPr>
      <w:t>v. KEF u. RZ-V 2015, Version 1.</w:t>
    </w:r>
    <w:r w:rsidR="00051648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C917C5" w:rsidRPr="00C917C5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C917C5" w:rsidRPr="00C917C5">
      <w:rPr>
        <w:rFonts w:ascii="Times New Roman" w:hAnsi="Times New Roman" w:cs="Times New Roman"/>
        <w:sz w:val="18"/>
        <w:szCs w:val="18"/>
      </w:rPr>
      <w:t>01.01.2020</w:t>
    </w:r>
    <w:r w:rsidR="00C917C5" w:rsidRPr="00C917C5">
      <w:rPr>
        <w:rFonts w:ascii="Times New Roman" w:hAnsi="Times New Roman" w:cs="Times New Roman"/>
        <w:sz w:val="18"/>
        <w:szCs w:val="18"/>
      </w:rPr>
      <w:tab/>
    </w:r>
    <w:r w:rsidR="00C917C5" w:rsidRPr="00C917C5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C917C5" w:rsidRPr="00C917C5">
      <w:rPr>
        <w:rFonts w:ascii="Times New Roman" w:hAnsi="Times New Roman" w:cs="Times New Roman"/>
        <w:bCs/>
        <w:sz w:val="18"/>
        <w:szCs w:val="18"/>
      </w:rPr>
      <w:fldChar w:fldCharType="begin"/>
    </w:r>
    <w:r w:rsidR="00C917C5" w:rsidRPr="00C917C5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C917C5" w:rsidRPr="00C917C5">
      <w:rPr>
        <w:rFonts w:ascii="Times New Roman" w:hAnsi="Times New Roman" w:cs="Times New Roman"/>
        <w:bCs/>
        <w:sz w:val="18"/>
        <w:szCs w:val="18"/>
      </w:rPr>
      <w:fldChar w:fldCharType="separate"/>
    </w:r>
    <w:r w:rsidR="00051648" w:rsidRPr="00051648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C917C5" w:rsidRPr="00C917C5">
      <w:rPr>
        <w:rFonts w:ascii="Times New Roman" w:hAnsi="Times New Roman" w:cs="Times New Roman"/>
        <w:bCs/>
        <w:sz w:val="18"/>
        <w:szCs w:val="18"/>
      </w:rPr>
      <w:fldChar w:fldCharType="end"/>
    </w:r>
    <w:r w:rsidR="00C917C5" w:rsidRPr="00C917C5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C917C5" w:rsidRPr="00C917C5">
      <w:rPr>
        <w:rFonts w:ascii="Times New Roman" w:hAnsi="Times New Roman" w:cs="Times New Roman"/>
        <w:bCs/>
        <w:sz w:val="18"/>
        <w:szCs w:val="18"/>
      </w:rPr>
      <w:fldChar w:fldCharType="begin"/>
    </w:r>
    <w:r w:rsidR="00C917C5" w:rsidRPr="00C917C5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C917C5" w:rsidRPr="00C917C5">
      <w:rPr>
        <w:rFonts w:ascii="Times New Roman" w:hAnsi="Times New Roman" w:cs="Times New Roman"/>
        <w:bCs/>
        <w:sz w:val="18"/>
        <w:szCs w:val="18"/>
      </w:rPr>
      <w:fldChar w:fldCharType="separate"/>
    </w:r>
    <w:r w:rsidR="00051648" w:rsidRPr="00051648">
      <w:rPr>
        <w:rFonts w:ascii="Times New Roman" w:hAnsi="Times New Roman" w:cs="Times New Roman"/>
        <w:bCs/>
        <w:noProof/>
        <w:sz w:val="18"/>
        <w:szCs w:val="18"/>
        <w:lang w:val="de-DE"/>
      </w:rPr>
      <w:t>6</w:t>
    </w:r>
    <w:r w:rsidR="00C917C5" w:rsidRPr="00C917C5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7C5" w:rsidRDefault="00C917C5" w:rsidP="00C917C5">
      <w:pPr>
        <w:spacing w:after="0" w:line="240" w:lineRule="auto"/>
      </w:pPr>
      <w:r>
        <w:separator/>
      </w:r>
    </w:p>
  </w:footnote>
  <w:footnote w:type="continuationSeparator" w:id="0">
    <w:p w:rsidR="00C917C5" w:rsidRDefault="00C917C5" w:rsidP="00C91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464EE"/>
    <w:multiLevelType w:val="hybridMultilevel"/>
    <w:tmpl w:val="72768DA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D61FC6"/>
    <w:multiLevelType w:val="hybridMultilevel"/>
    <w:tmpl w:val="6810CCE4"/>
    <w:lvl w:ilvl="0" w:tplc="A342B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B5659"/>
    <w:multiLevelType w:val="hybridMultilevel"/>
    <w:tmpl w:val="CD88938E"/>
    <w:lvl w:ilvl="0" w:tplc="A552C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741A2"/>
    <w:multiLevelType w:val="hybridMultilevel"/>
    <w:tmpl w:val="5EEA936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4A9E490D"/>
    <w:multiLevelType w:val="hybridMultilevel"/>
    <w:tmpl w:val="971218EE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EA614DD"/>
    <w:multiLevelType w:val="hybridMultilevel"/>
    <w:tmpl w:val="146CC832"/>
    <w:lvl w:ilvl="0" w:tplc="AF1080E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3728A"/>
    <w:multiLevelType w:val="hybridMultilevel"/>
    <w:tmpl w:val="B4FA88E0"/>
    <w:lvl w:ilvl="0" w:tplc="AF164E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30B2C"/>
    <w:multiLevelType w:val="hybridMultilevel"/>
    <w:tmpl w:val="4EE62B28"/>
    <w:lvl w:ilvl="0" w:tplc="0DBC28B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92E6F"/>
    <w:multiLevelType w:val="hybridMultilevel"/>
    <w:tmpl w:val="2DBE44BC"/>
    <w:lvl w:ilvl="0" w:tplc="99E0B0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7C5"/>
    <w:rsid w:val="00051648"/>
    <w:rsid w:val="0091326B"/>
    <w:rsid w:val="0097760A"/>
    <w:rsid w:val="00AE7F18"/>
    <w:rsid w:val="00C917C5"/>
    <w:rsid w:val="00D24C03"/>
    <w:rsid w:val="00DA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CC32B"/>
  <w15:chartTrackingRefBased/>
  <w15:docId w15:val="{E2D0BE91-7BBD-4C41-BA9E-FBCF1B29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17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1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17C5"/>
  </w:style>
  <w:style w:type="paragraph" w:styleId="Fuzeile">
    <w:name w:val="footer"/>
    <w:basedOn w:val="Standard"/>
    <w:link w:val="FuzeileZchn"/>
    <w:uiPriority w:val="99"/>
    <w:unhideWhenUsed/>
    <w:rsid w:val="00C917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1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1431</Words>
  <Characters>9017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5</cp:revision>
  <dcterms:created xsi:type="dcterms:W3CDTF">2020-01-21T08:04:00Z</dcterms:created>
  <dcterms:modified xsi:type="dcterms:W3CDTF">2020-03-30T12:19:00Z</dcterms:modified>
</cp:coreProperties>
</file>